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A85A5" w14:textId="77777777" w:rsidR="00FB205F" w:rsidRDefault="00FB205F" w:rsidP="00FB205F">
      <w:pPr>
        <w:jc w:val="center"/>
        <w:rPr>
          <w:rFonts w:ascii="方正小标宋简体" w:eastAsia="方正小标宋简体" w:hAnsi="华文中宋" w:cs="华文中宋" w:hint="eastAsia"/>
          <w:color w:val="000000"/>
          <w:sz w:val="40"/>
          <w:szCs w:val="40"/>
        </w:rPr>
      </w:pPr>
      <w:r>
        <w:rPr>
          <w:rFonts w:ascii="方正小标宋简体" w:eastAsia="方正小标宋简体" w:hAnsi="华文中宋" w:cs="华文中宋" w:hint="eastAsia"/>
          <w:color w:val="000000"/>
          <w:sz w:val="40"/>
          <w:szCs w:val="40"/>
        </w:rPr>
        <w:t>滁州市地方标准编制说明</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323"/>
        <w:gridCol w:w="2373"/>
        <w:gridCol w:w="1842"/>
        <w:gridCol w:w="1287"/>
        <w:gridCol w:w="2052"/>
      </w:tblGrid>
      <w:tr w:rsidR="00FB205F" w14:paraId="08779821" w14:textId="77777777" w:rsidTr="006F6E22">
        <w:trPr>
          <w:jc w:val="center"/>
        </w:trPr>
        <w:tc>
          <w:tcPr>
            <w:tcW w:w="2017" w:type="dxa"/>
            <w:gridSpan w:val="2"/>
            <w:vAlign w:val="center"/>
          </w:tcPr>
          <w:p w14:paraId="2F360587"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标准名称</w:t>
            </w:r>
          </w:p>
        </w:tc>
        <w:tc>
          <w:tcPr>
            <w:tcW w:w="7554" w:type="dxa"/>
            <w:gridSpan w:val="4"/>
            <w:vAlign w:val="center"/>
          </w:tcPr>
          <w:p w14:paraId="467EC5D0" w14:textId="297D0C37" w:rsidR="00FB205F" w:rsidRDefault="00CA21FE" w:rsidP="006F6E22">
            <w:pPr>
              <w:tabs>
                <w:tab w:val="center" w:pos="4201"/>
                <w:tab w:val="right" w:leader="dot" w:pos="9298"/>
              </w:tabs>
              <w:autoSpaceDE w:val="0"/>
              <w:autoSpaceDN w:val="0"/>
              <w:spacing w:after="0"/>
              <w:rPr>
                <w:rFonts w:ascii="宋体" w:eastAsia="宋体" w:hAnsi="宋体" w:cs="Times New Roman" w:hint="eastAsia"/>
                <w:sz w:val="21"/>
                <w:szCs w:val="21"/>
              </w:rPr>
            </w:pPr>
            <w:bookmarkStart w:id="0" w:name="_Hlk175120482"/>
            <w:r w:rsidRPr="00CA21FE">
              <w:rPr>
                <w:rFonts w:ascii="宋体" w:eastAsia="宋体" w:hAnsi="宋体" w:cs="Times New Roman" w:hint="eastAsia"/>
                <w:sz w:val="21"/>
                <w:szCs w:val="21"/>
              </w:rPr>
              <w:t>融合IPv6技术的智慧</w:t>
            </w:r>
            <w:proofErr w:type="gramStart"/>
            <w:r w:rsidRPr="00CA21FE">
              <w:rPr>
                <w:rFonts w:ascii="宋体" w:eastAsia="宋体" w:hAnsi="宋体" w:cs="Times New Roman" w:hint="eastAsia"/>
                <w:sz w:val="21"/>
                <w:szCs w:val="21"/>
              </w:rPr>
              <w:t>文旅综合</w:t>
            </w:r>
            <w:proofErr w:type="gramEnd"/>
            <w:r w:rsidRPr="00CA21FE">
              <w:rPr>
                <w:rFonts w:ascii="宋体" w:eastAsia="宋体" w:hAnsi="宋体" w:cs="Times New Roman" w:hint="eastAsia"/>
                <w:sz w:val="21"/>
                <w:szCs w:val="21"/>
              </w:rPr>
              <w:t>管理服务平台数据采集规范</w:t>
            </w:r>
            <w:bookmarkEnd w:id="0"/>
          </w:p>
        </w:tc>
      </w:tr>
      <w:tr w:rsidR="00FB205F" w14:paraId="684CE346" w14:textId="77777777" w:rsidTr="006F6E22">
        <w:trPr>
          <w:jc w:val="center"/>
        </w:trPr>
        <w:tc>
          <w:tcPr>
            <w:tcW w:w="2017" w:type="dxa"/>
            <w:gridSpan w:val="2"/>
            <w:vAlign w:val="center"/>
          </w:tcPr>
          <w:p w14:paraId="6F13DC1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任务来源</w:t>
            </w:r>
          </w:p>
          <w:p w14:paraId="67F0323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（项目计划号）</w:t>
            </w:r>
          </w:p>
        </w:tc>
        <w:tc>
          <w:tcPr>
            <w:tcW w:w="7554" w:type="dxa"/>
            <w:gridSpan w:val="4"/>
            <w:vAlign w:val="center"/>
          </w:tcPr>
          <w:p w14:paraId="04C3D848" w14:textId="277C8F73" w:rsidR="00FB205F" w:rsidRDefault="00FB205F" w:rsidP="006F6E22">
            <w:pPr>
              <w:tabs>
                <w:tab w:val="center" w:pos="4201"/>
                <w:tab w:val="right" w:leader="dot" w:pos="9298"/>
              </w:tabs>
              <w:autoSpaceDE w:val="0"/>
              <w:autoSpaceDN w:val="0"/>
              <w:spacing w:after="0"/>
              <w:rPr>
                <w:rFonts w:ascii="宋体" w:eastAsia="宋体" w:hAnsi="宋体" w:cs="Times New Roman" w:hint="eastAsia"/>
                <w:color w:val="000000"/>
                <w:sz w:val="21"/>
                <w:szCs w:val="21"/>
              </w:rPr>
            </w:pPr>
            <w:r>
              <w:rPr>
                <w:rFonts w:ascii="宋体" w:eastAsia="宋体" w:hAnsi="宋体" w:cs="仿宋_GB2312" w:hint="eastAsia"/>
                <w:color w:val="000000"/>
                <w:sz w:val="21"/>
                <w:szCs w:val="21"/>
              </w:rPr>
              <w:t>滁州市市场监督管理局：</w:t>
            </w:r>
            <w:r>
              <w:rPr>
                <w:rFonts w:ascii="宋体" w:eastAsia="宋体" w:hAnsi="宋体" w:cs="宋体" w:hint="eastAsia"/>
                <w:sz w:val="21"/>
                <w:szCs w:val="21"/>
              </w:rPr>
              <w:t>《关于下达</w:t>
            </w:r>
            <w:r>
              <w:rPr>
                <w:rFonts w:ascii="宋体" w:eastAsia="宋体" w:hAnsi="宋体" w:cs="宋体"/>
                <w:sz w:val="21"/>
                <w:szCs w:val="21"/>
              </w:rPr>
              <w:t>2023</w:t>
            </w:r>
            <w:r>
              <w:rPr>
                <w:rFonts w:ascii="宋体" w:eastAsia="宋体" w:hAnsi="宋体" w:cs="宋体" w:hint="eastAsia"/>
                <w:sz w:val="21"/>
                <w:szCs w:val="21"/>
              </w:rPr>
              <w:t>年滁州市地方标准制定项目计划的通知》文件，项目计划编号为</w:t>
            </w:r>
            <w:r w:rsidRPr="00666697">
              <w:rPr>
                <w:rFonts w:ascii="宋体" w:eastAsia="宋体" w:hAnsi="宋体" w:cs="宋体"/>
                <w:sz w:val="21"/>
                <w:szCs w:val="21"/>
              </w:rPr>
              <w:t>202</w:t>
            </w:r>
            <w:r>
              <w:rPr>
                <w:rFonts w:ascii="宋体" w:eastAsia="宋体" w:hAnsi="宋体" w:cs="宋体"/>
                <w:sz w:val="21"/>
                <w:szCs w:val="21"/>
              </w:rPr>
              <w:t>3</w:t>
            </w:r>
            <w:r w:rsidRPr="00666697">
              <w:rPr>
                <w:rFonts w:ascii="宋体" w:eastAsia="宋体" w:hAnsi="宋体" w:cs="宋体"/>
                <w:sz w:val="21"/>
                <w:szCs w:val="21"/>
              </w:rPr>
              <w:t>-</w:t>
            </w:r>
            <w:r>
              <w:rPr>
                <w:rFonts w:ascii="宋体" w:eastAsia="宋体" w:hAnsi="宋体" w:cs="宋体"/>
                <w:sz w:val="21"/>
                <w:szCs w:val="21"/>
              </w:rPr>
              <w:t>1-1</w:t>
            </w:r>
            <w:r w:rsidR="00CA21FE">
              <w:rPr>
                <w:rFonts w:ascii="宋体" w:eastAsia="宋体" w:hAnsi="宋体" w:cs="宋体" w:hint="eastAsia"/>
                <w:sz w:val="21"/>
                <w:szCs w:val="21"/>
              </w:rPr>
              <w:t>9</w:t>
            </w:r>
            <w:r>
              <w:rPr>
                <w:rFonts w:ascii="宋体" w:eastAsia="宋体" w:hAnsi="宋体" w:cs="宋体" w:hint="eastAsia"/>
                <w:sz w:val="21"/>
                <w:szCs w:val="21"/>
              </w:rPr>
              <w:t>项</w:t>
            </w:r>
          </w:p>
        </w:tc>
      </w:tr>
      <w:tr w:rsidR="00FB205F" w14:paraId="6411D616" w14:textId="77777777" w:rsidTr="006F6E22">
        <w:trPr>
          <w:jc w:val="center"/>
        </w:trPr>
        <w:tc>
          <w:tcPr>
            <w:tcW w:w="2017" w:type="dxa"/>
            <w:gridSpan w:val="2"/>
            <w:vAlign w:val="center"/>
          </w:tcPr>
          <w:p w14:paraId="68B7D93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负责起草单位</w:t>
            </w:r>
          </w:p>
        </w:tc>
        <w:tc>
          <w:tcPr>
            <w:tcW w:w="7554" w:type="dxa"/>
            <w:gridSpan w:val="4"/>
            <w:vAlign w:val="center"/>
          </w:tcPr>
          <w:p w14:paraId="7014ABDB" w14:textId="77777777" w:rsidR="00FB205F" w:rsidRDefault="00FB205F" w:rsidP="006F6E22">
            <w:pPr>
              <w:tabs>
                <w:tab w:val="center" w:pos="4201"/>
                <w:tab w:val="right" w:leader="dot" w:pos="9298"/>
              </w:tabs>
              <w:autoSpaceDE w:val="0"/>
              <w:autoSpaceDN w:val="0"/>
              <w:spacing w:after="0"/>
              <w:rPr>
                <w:rFonts w:ascii="宋体" w:eastAsia="宋体" w:hAnsi="宋体" w:cs="Times New Roman" w:hint="eastAsia"/>
                <w:sz w:val="21"/>
                <w:szCs w:val="21"/>
              </w:rPr>
            </w:pPr>
            <w:r w:rsidRPr="00666697">
              <w:rPr>
                <w:rFonts w:ascii="宋体" w:eastAsia="宋体" w:hAnsi="宋体" w:cs="Times New Roman" w:hint="eastAsia"/>
                <w:sz w:val="21"/>
                <w:szCs w:val="21"/>
              </w:rPr>
              <w:t>滁州学院</w:t>
            </w:r>
          </w:p>
        </w:tc>
      </w:tr>
      <w:tr w:rsidR="00FB205F" w14:paraId="3B7F291D" w14:textId="77777777" w:rsidTr="006F6E22">
        <w:trPr>
          <w:jc w:val="center"/>
        </w:trPr>
        <w:tc>
          <w:tcPr>
            <w:tcW w:w="2017" w:type="dxa"/>
            <w:gridSpan w:val="2"/>
            <w:vAlign w:val="center"/>
          </w:tcPr>
          <w:p w14:paraId="1B4EE8A1"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单位地址</w:t>
            </w:r>
          </w:p>
        </w:tc>
        <w:tc>
          <w:tcPr>
            <w:tcW w:w="7554" w:type="dxa"/>
            <w:gridSpan w:val="4"/>
            <w:vAlign w:val="center"/>
          </w:tcPr>
          <w:p w14:paraId="3D3F2BC6" w14:textId="77777777" w:rsidR="00FB205F" w:rsidRDefault="00FB205F" w:rsidP="006F6E22">
            <w:pPr>
              <w:tabs>
                <w:tab w:val="center" w:pos="4201"/>
                <w:tab w:val="right" w:leader="dot" w:pos="9298"/>
              </w:tabs>
              <w:autoSpaceDE w:val="0"/>
              <w:autoSpaceDN w:val="0"/>
              <w:spacing w:after="0"/>
              <w:rPr>
                <w:rFonts w:ascii="宋体" w:eastAsia="宋体" w:hAnsi="宋体" w:cs="Times New Roman" w:hint="eastAsia"/>
                <w:sz w:val="21"/>
                <w:szCs w:val="21"/>
              </w:rPr>
            </w:pPr>
            <w:r w:rsidRPr="00666697">
              <w:rPr>
                <w:rFonts w:ascii="宋体" w:eastAsia="宋体" w:hAnsi="宋体" w:cs="Times New Roman" w:hint="eastAsia"/>
                <w:sz w:val="21"/>
                <w:szCs w:val="21"/>
              </w:rPr>
              <w:t>安徽省滁州市会峰西路1号</w:t>
            </w:r>
          </w:p>
        </w:tc>
      </w:tr>
      <w:tr w:rsidR="00FB205F" w14:paraId="1E0C0736" w14:textId="77777777" w:rsidTr="006F6E22">
        <w:trPr>
          <w:jc w:val="center"/>
        </w:trPr>
        <w:tc>
          <w:tcPr>
            <w:tcW w:w="2017" w:type="dxa"/>
            <w:gridSpan w:val="2"/>
            <w:vAlign w:val="center"/>
          </w:tcPr>
          <w:p w14:paraId="185923B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参与起草单位</w:t>
            </w:r>
          </w:p>
        </w:tc>
        <w:tc>
          <w:tcPr>
            <w:tcW w:w="7554" w:type="dxa"/>
            <w:gridSpan w:val="4"/>
            <w:vAlign w:val="center"/>
          </w:tcPr>
          <w:p w14:paraId="2EBCDA36" w14:textId="0BDB8E10" w:rsidR="00FB205F" w:rsidRDefault="00FB205F" w:rsidP="006F6E22">
            <w:pPr>
              <w:tabs>
                <w:tab w:val="center" w:pos="4201"/>
                <w:tab w:val="right" w:leader="dot" w:pos="9298"/>
              </w:tabs>
              <w:autoSpaceDE w:val="0"/>
              <w:autoSpaceDN w:val="0"/>
              <w:spacing w:after="0"/>
              <w:rPr>
                <w:rFonts w:ascii="宋体" w:eastAsia="宋体" w:hAnsi="宋体" w:cs="Times New Roman" w:hint="eastAsia"/>
                <w:sz w:val="21"/>
                <w:szCs w:val="21"/>
              </w:rPr>
            </w:pPr>
            <w:r w:rsidRPr="00777BDF">
              <w:rPr>
                <w:rFonts w:ascii="宋体" w:eastAsia="宋体" w:hAnsi="宋体" w:cs="Times New Roman" w:hint="eastAsia"/>
                <w:sz w:val="21"/>
                <w:szCs w:val="21"/>
              </w:rPr>
              <w:t>滁州市委网络安全和信息化委员会办公室</w:t>
            </w:r>
            <w:r>
              <w:rPr>
                <w:rFonts w:ascii="宋体" w:eastAsia="宋体" w:hAnsi="宋体" w:cs="Times New Roman" w:hint="eastAsia"/>
                <w:sz w:val="21"/>
                <w:szCs w:val="21"/>
              </w:rPr>
              <w:t>、滁州市</w:t>
            </w:r>
            <w:r w:rsidR="00CA21FE">
              <w:rPr>
                <w:rFonts w:ascii="宋体" w:eastAsia="宋体" w:hAnsi="宋体" w:cs="Times New Roman" w:hint="eastAsia"/>
                <w:sz w:val="21"/>
                <w:szCs w:val="21"/>
              </w:rPr>
              <w:t>文化和旅游</w:t>
            </w:r>
            <w:r w:rsidR="00C53F86">
              <w:rPr>
                <w:rFonts w:ascii="宋体" w:eastAsia="宋体" w:hAnsi="宋体" w:cs="Times New Roman" w:hint="eastAsia"/>
                <w:sz w:val="21"/>
                <w:szCs w:val="21"/>
              </w:rPr>
              <w:t>局</w:t>
            </w:r>
          </w:p>
        </w:tc>
      </w:tr>
      <w:tr w:rsidR="00FB205F" w14:paraId="422A3871" w14:textId="77777777" w:rsidTr="006F6E22">
        <w:trPr>
          <w:jc w:val="center"/>
        </w:trPr>
        <w:tc>
          <w:tcPr>
            <w:tcW w:w="9571" w:type="dxa"/>
            <w:gridSpan w:val="6"/>
            <w:vAlign w:val="center"/>
          </w:tcPr>
          <w:p w14:paraId="4E7D61EE"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b/>
                <w:bCs/>
                <w:sz w:val="21"/>
                <w:szCs w:val="21"/>
              </w:rPr>
            </w:pPr>
            <w:r>
              <w:rPr>
                <w:rFonts w:ascii="宋体" w:eastAsia="宋体" w:hAnsi="宋体" w:cs="宋体" w:hint="eastAsia"/>
                <w:b/>
                <w:bCs/>
                <w:sz w:val="21"/>
                <w:szCs w:val="21"/>
              </w:rPr>
              <w:t>标准起草人</w:t>
            </w:r>
          </w:p>
          <w:p w14:paraId="3B22D3F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（全部起草人，应与标准文本前言中起草人排序一致）</w:t>
            </w:r>
          </w:p>
        </w:tc>
      </w:tr>
      <w:tr w:rsidR="00FB205F" w14:paraId="2B259141" w14:textId="77777777" w:rsidTr="006F6E22">
        <w:trPr>
          <w:jc w:val="center"/>
        </w:trPr>
        <w:tc>
          <w:tcPr>
            <w:tcW w:w="694" w:type="dxa"/>
            <w:vAlign w:val="center"/>
          </w:tcPr>
          <w:p w14:paraId="68C42A1B"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序号</w:t>
            </w:r>
          </w:p>
        </w:tc>
        <w:tc>
          <w:tcPr>
            <w:tcW w:w="1323" w:type="dxa"/>
            <w:vAlign w:val="center"/>
          </w:tcPr>
          <w:p w14:paraId="48902C98"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姓名</w:t>
            </w:r>
          </w:p>
        </w:tc>
        <w:tc>
          <w:tcPr>
            <w:tcW w:w="2373" w:type="dxa"/>
            <w:vAlign w:val="center"/>
          </w:tcPr>
          <w:p w14:paraId="5E0B9471"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单位</w:t>
            </w:r>
          </w:p>
        </w:tc>
        <w:tc>
          <w:tcPr>
            <w:tcW w:w="1842" w:type="dxa"/>
            <w:vAlign w:val="center"/>
          </w:tcPr>
          <w:p w14:paraId="7D4A88FD"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职务</w:t>
            </w:r>
          </w:p>
        </w:tc>
        <w:tc>
          <w:tcPr>
            <w:tcW w:w="1287" w:type="dxa"/>
            <w:vAlign w:val="center"/>
          </w:tcPr>
          <w:p w14:paraId="2F765F3A"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职称</w:t>
            </w:r>
          </w:p>
        </w:tc>
        <w:tc>
          <w:tcPr>
            <w:tcW w:w="2052" w:type="dxa"/>
            <w:vAlign w:val="center"/>
          </w:tcPr>
          <w:p w14:paraId="6B2FFDB9"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宋体" w:hint="eastAsia"/>
                <w:sz w:val="21"/>
                <w:szCs w:val="21"/>
              </w:rPr>
              <w:t>电话</w:t>
            </w:r>
          </w:p>
        </w:tc>
      </w:tr>
      <w:tr w:rsidR="00FB205F" w14:paraId="57CB97CF" w14:textId="77777777" w:rsidTr="006F6E22">
        <w:trPr>
          <w:jc w:val="center"/>
        </w:trPr>
        <w:tc>
          <w:tcPr>
            <w:tcW w:w="694" w:type="dxa"/>
            <w:vAlign w:val="center"/>
          </w:tcPr>
          <w:p w14:paraId="5B42259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w:t>
            </w:r>
          </w:p>
        </w:tc>
        <w:tc>
          <w:tcPr>
            <w:tcW w:w="1323" w:type="dxa"/>
            <w:vAlign w:val="center"/>
          </w:tcPr>
          <w:p w14:paraId="13A89D19" w14:textId="51F5F29C" w:rsidR="00FB205F" w:rsidRDefault="00CA21FE"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刘广东</w:t>
            </w:r>
          </w:p>
        </w:tc>
        <w:tc>
          <w:tcPr>
            <w:tcW w:w="2373" w:type="dxa"/>
          </w:tcPr>
          <w:p w14:paraId="469F8500"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852F57">
              <w:rPr>
                <w:rFonts w:ascii="宋体" w:eastAsia="宋体" w:hAnsi="宋体" w:cs="Times New Roman" w:hint="eastAsia"/>
                <w:sz w:val="21"/>
                <w:szCs w:val="21"/>
              </w:rPr>
              <w:t>滁州学院</w:t>
            </w:r>
          </w:p>
        </w:tc>
        <w:tc>
          <w:tcPr>
            <w:tcW w:w="1842" w:type="dxa"/>
            <w:vAlign w:val="center"/>
          </w:tcPr>
          <w:p w14:paraId="70BE1E53"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w:t>
            </w:r>
          </w:p>
        </w:tc>
        <w:tc>
          <w:tcPr>
            <w:tcW w:w="1287" w:type="dxa"/>
            <w:vAlign w:val="center"/>
          </w:tcPr>
          <w:p w14:paraId="489E4160" w14:textId="096FE04E" w:rsidR="00FB205F" w:rsidRDefault="00CA21FE"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副教授</w:t>
            </w:r>
          </w:p>
        </w:tc>
        <w:tc>
          <w:tcPr>
            <w:tcW w:w="2052" w:type="dxa"/>
            <w:vAlign w:val="center"/>
          </w:tcPr>
          <w:p w14:paraId="7A3ED703" w14:textId="31810B22" w:rsidR="00FB205F" w:rsidRDefault="00CA21FE"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18756885806</w:t>
            </w:r>
          </w:p>
        </w:tc>
      </w:tr>
      <w:tr w:rsidR="00FB205F" w14:paraId="39FF27F9" w14:textId="77777777" w:rsidTr="006F6E22">
        <w:trPr>
          <w:jc w:val="center"/>
        </w:trPr>
        <w:tc>
          <w:tcPr>
            <w:tcW w:w="694" w:type="dxa"/>
            <w:vAlign w:val="center"/>
          </w:tcPr>
          <w:p w14:paraId="388BB4A5"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2</w:t>
            </w:r>
          </w:p>
        </w:tc>
        <w:tc>
          <w:tcPr>
            <w:tcW w:w="1323" w:type="dxa"/>
            <w:vAlign w:val="center"/>
          </w:tcPr>
          <w:p w14:paraId="629DEC9D" w14:textId="23A7F6A7" w:rsidR="00FB205F" w:rsidRDefault="00CA21FE"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proofErr w:type="gramStart"/>
            <w:r>
              <w:rPr>
                <w:rFonts w:ascii="宋体" w:eastAsia="宋体" w:hAnsi="宋体" w:cs="Times New Roman" w:hint="eastAsia"/>
                <w:sz w:val="21"/>
                <w:szCs w:val="21"/>
              </w:rPr>
              <w:t>晋秀龙</w:t>
            </w:r>
            <w:proofErr w:type="gramEnd"/>
          </w:p>
        </w:tc>
        <w:tc>
          <w:tcPr>
            <w:tcW w:w="2373" w:type="dxa"/>
          </w:tcPr>
          <w:p w14:paraId="5F8B3899" w14:textId="1B63FB03" w:rsidR="00FB205F"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滁州学院</w:t>
            </w:r>
          </w:p>
        </w:tc>
        <w:tc>
          <w:tcPr>
            <w:tcW w:w="1842" w:type="dxa"/>
            <w:vAlign w:val="center"/>
          </w:tcPr>
          <w:p w14:paraId="7B071F31" w14:textId="43939B00" w:rsidR="00FB205F"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处长</w:t>
            </w:r>
          </w:p>
        </w:tc>
        <w:tc>
          <w:tcPr>
            <w:tcW w:w="1287" w:type="dxa"/>
            <w:vAlign w:val="center"/>
          </w:tcPr>
          <w:p w14:paraId="5B44A44B" w14:textId="1B698DEA" w:rsidR="00FB205F"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教授</w:t>
            </w:r>
          </w:p>
        </w:tc>
        <w:tc>
          <w:tcPr>
            <w:tcW w:w="2052" w:type="dxa"/>
            <w:vAlign w:val="center"/>
          </w:tcPr>
          <w:p w14:paraId="735FB712" w14:textId="50585DF1" w:rsidR="00FB205F"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13696756263</w:t>
            </w:r>
          </w:p>
        </w:tc>
      </w:tr>
      <w:tr w:rsidR="00FB205F" w14:paraId="0DBB5D6E" w14:textId="77777777" w:rsidTr="006F6E22">
        <w:trPr>
          <w:jc w:val="center"/>
        </w:trPr>
        <w:tc>
          <w:tcPr>
            <w:tcW w:w="694" w:type="dxa"/>
            <w:vAlign w:val="center"/>
          </w:tcPr>
          <w:p w14:paraId="0CAD4DCF" w14:textId="77777777" w:rsidR="00FB205F" w:rsidRDefault="00FB205F"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3</w:t>
            </w:r>
          </w:p>
        </w:tc>
        <w:tc>
          <w:tcPr>
            <w:tcW w:w="1323" w:type="dxa"/>
            <w:vAlign w:val="center"/>
          </w:tcPr>
          <w:p w14:paraId="6F8EA336" w14:textId="09B5A2F3" w:rsidR="00FB205F" w:rsidRDefault="00CA21FE"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CA21FE">
              <w:rPr>
                <w:rFonts w:ascii="宋体" w:eastAsia="宋体" w:hAnsi="宋体" w:cs="Times New Roman" w:hint="eastAsia"/>
                <w:sz w:val="21"/>
                <w:szCs w:val="21"/>
              </w:rPr>
              <w:t>钱朝阳</w:t>
            </w:r>
          </w:p>
        </w:tc>
        <w:tc>
          <w:tcPr>
            <w:tcW w:w="2373" w:type="dxa"/>
            <w:vAlign w:val="center"/>
          </w:tcPr>
          <w:p w14:paraId="4E18447B" w14:textId="4C787F27" w:rsidR="00FB205F" w:rsidRPr="00852F57"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滁州市文化和旅游局</w:t>
            </w:r>
          </w:p>
        </w:tc>
        <w:tc>
          <w:tcPr>
            <w:tcW w:w="1842" w:type="dxa"/>
            <w:vAlign w:val="center"/>
          </w:tcPr>
          <w:p w14:paraId="1407F1E3" w14:textId="30EDF3A4" w:rsidR="00FB205F"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科长</w:t>
            </w:r>
          </w:p>
        </w:tc>
        <w:tc>
          <w:tcPr>
            <w:tcW w:w="1287" w:type="dxa"/>
            <w:vAlign w:val="center"/>
          </w:tcPr>
          <w:p w14:paraId="0FD744B8" w14:textId="4D1A36AC" w:rsidR="00FB205F" w:rsidRDefault="006C093B" w:rsidP="006F6E22">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w:t>
            </w:r>
          </w:p>
        </w:tc>
        <w:tc>
          <w:tcPr>
            <w:tcW w:w="2052" w:type="dxa"/>
            <w:vAlign w:val="center"/>
          </w:tcPr>
          <w:p w14:paraId="5074039C" w14:textId="389D9C2F" w:rsidR="00FB205F"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13955016677</w:t>
            </w:r>
          </w:p>
        </w:tc>
      </w:tr>
      <w:tr w:rsidR="006C093B" w14:paraId="0E1D6FCC" w14:textId="77777777" w:rsidTr="00B476C2">
        <w:trPr>
          <w:jc w:val="center"/>
        </w:trPr>
        <w:tc>
          <w:tcPr>
            <w:tcW w:w="694" w:type="dxa"/>
            <w:vAlign w:val="center"/>
          </w:tcPr>
          <w:p w14:paraId="2D5A5AC0" w14:textId="00BF1621"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4</w:t>
            </w:r>
          </w:p>
        </w:tc>
        <w:tc>
          <w:tcPr>
            <w:tcW w:w="1323" w:type="dxa"/>
            <w:vAlign w:val="center"/>
          </w:tcPr>
          <w:p w14:paraId="7E583DBB" w14:textId="418DFD7A" w:rsidR="006C093B" w:rsidRPr="00CA21FE"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CA21FE">
              <w:rPr>
                <w:rFonts w:ascii="宋体" w:eastAsia="宋体" w:hAnsi="宋体" w:cs="Times New Roman" w:hint="eastAsia"/>
                <w:sz w:val="21"/>
                <w:szCs w:val="21"/>
              </w:rPr>
              <w:t>詹杰</w:t>
            </w:r>
          </w:p>
        </w:tc>
        <w:tc>
          <w:tcPr>
            <w:tcW w:w="2373" w:type="dxa"/>
            <w:vAlign w:val="center"/>
          </w:tcPr>
          <w:p w14:paraId="1A4521CD" w14:textId="7F4203AA"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滁州市文化和旅游局</w:t>
            </w:r>
          </w:p>
        </w:tc>
        <w:tc>
          <w:tcPr>
            <w:tcW w:w="1842" w:type="dxa"/>
            <w:vAlign w:val="center"/>
          </w:tcPr>
          <w:p w14:paraId="692E7A7B" w14:textId="22938280"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副主任</w:t>
            </w:r>
          </w:p>
        </w:tc>
        <w:tc>
          <w:tcPr>
            <w:tcW w:w="1287" w:type="dxa"/>
          </w:tcPr>
          <w:p w14:paraId="371DA5B0" w14:textId="1002382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w:t>
            </w:r>
          </w:p>
        </w:tc>
        <w:tc>
          <w:tcPr>
            <w:tcW w:w="2052" w:type="dxa"/>
            <w:vAlign w:val="center"/>
          </w:tcPr>
          <w:p w14:paraId="076A2516" w14:textId="4030E6DE"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13955029779</w:t>
            </w:r>
          </w:p>
        </w:tc>
      </w:tr>
      <w:tr w:rsidR="006C093B" w14:paraId="23B1B0ED" w14:textId="77777777" w:rsidTr="006F6E22">
        <w:trPr>
          <w:jc w:val="center"/>
        </w:trPr>
        <w:tc>
          <w:tcPr>
            <w:tcW w:w="694" w:type="dxa"/>
            <w:vAlign w:val="center"/>
          </w:tcPr>
          <w:p w14:paraId="67FBEBB2" w14:textId="3D64B69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5</w:t>
            </w:r>
          </w:p>
        </w:tc>
        <w:tc>
          <w:tcPr>
            <w:tcW w:w="1323" w:type="dxa"/>
            <w:vAlign w:val="center"/>
          </w:tcPr>
          <w:p w14:paraId="468E0858"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陶四庆</w:t>
            </w:r>
          </w:p>
        </w:tc>
        <w:tc>
          <w:tcPr>
            <w:tcW w:w="2373" w:type="dxa"/>
          </w:tcPr>
          <w:p w14:paraId="51E2FB66"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roofErr w:type="gramStart"/>
            <w:r w:rsidRPr="00FA357C">
              <w:rPr>
                <w:rFonts w:ascii="宋体" w:eastAsia="宋体" w:hAnsi="宋体" w:cs="Times New Roman" w:hint="eastAsia"/>
                <w:sz w:val="21"/>
                <w:szCs w:val="21"/>
              </w:rPr>
              <w:t>中共滁州市委网信办</w:t>
            </w:r>
            <w:proofErr w:type="gramEnd"/>
          </w:p>
        </w:tc>
        <w:tc>
          <w:tcPr>
            <w:tcW w:w="1842" w:type="dxa"/>
            <w:vAlign w:val="center"/>
          </w:tcPr>
          <w:p w14:paraId="0BD35352"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FA357C">
              <w:rPr>
                <w:rFonts w:ascii="宋体" w:eastAsia="宋体" w:hAnsi="宋体" w:cs="Times New Roman" w:hint="eastAsia"/>
                <w:sz w:val="21"/>
                <w:szCs w:val="21"/>
              </w:rPr>
              <w:t>科长</w:t>
            </w:r>
          </w:p>
        </w:tc>
        <w:tc>
          <w:tcPr>
            <w:tcW w:w="1287" w:type="dxa"/>
            <w:vAlign w:val="center"/>
          </w:tcPr>
          <w:p w14:paraId="45302D68"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FA357C">
              <w:rPr>
                <w:rFonts w:ascii="宋体" w:eastAsia="宋体" w:hAnsi="宋体" w:cs="Times New Roman" w:hint="eastAsia"/>
                <w:sz w:val="21"/>
                <w:szCs w:val="21"/>
              </w:rPr>
              <w:t>高级工程师</w:t>
            </w:r>
          </w:p>
        </w:tc>
        <w:tc>
          <w:tcPr>
            <w:tcW w:w="2052" w:type="dxa"/>
            <w:vAlign w:val="center"/>
          </w:tcPr>
          <w:p w14:paraId="644AC698"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FA357C">
              <w:rPr>
                <w:rFonts w:ascii="宋体" w:eastAsia="宋体" w:hAnsi="宋体" w:cs="Times New Roman"/>
                <w:sz w:val="21"/>
                <w:szCs w:val="21"/>
              </w:rPr>
              <w:t>18005501765</w:t>
            </w:r>
          </w:p>
        </w:tc>
      </w:tr>
      <w:tr w:rsidR="006C093B" w14:paraId="775809F1" w14:textId="77777777" w:rsidTr="006F6E22">
        <w:trPr>
          <w:jc w:val="center"/>
        </w:trPr>
        <w:tc>
          <w:tcPr>
            <w:tcW w:w="694" w:type="dxa"/>
            <w:vAlign w:val="center"/>
          </w:tcPr>
          <w:p w14:paraId="0B0D6463"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6</w:t>
            </w:r>
          </w:p>
        </w:tc>
        <w:tc>
          <w:tcPr>
            <w:tcW w:w="1323" w:type="dxa"/>
            <w:vAlign w:val="center"/>
          </w:tcPr>
          <w:p w14:paraId="1BD0DE0B" w14:textId="562F2EA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sidRPr="00CA21FE">
              <w:rPr>
                <w:rFonts w:ascii="宋体" w:eastAsia="宋体" w:hAnsi="宋体" w:cs="Times New Roman" w:hint="eastAsia"/>
                <w:sz w:val="21"/>
                <w:szCs w:val="21"/>
              </w:rPr>
              <w:t>王涛</w:t>
            </w:r>
          </w:p>
        </w:tc>
        <w:tc>
          <w:tcPr>
            <w:tcW w:w="2373" w:type="dxa"/>
          </w:tcPr>
          <w:p w14:paraId="36E308B0" w14:textId="554280C9"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滁州学院</w:t>
            </w:r>
          </w:p>
        </w:tc>
        <w:tc>
          <w:tcPr>
            <w:tcW w:w="1842" w:type="dxa"/>
            <w:vAlign w:val="center"/>
          </w:tcPr>
          <w:p w14:paraId="3ED126B9" w14:textId="2ED4FEE0"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副主任</w:t>
            </w:r>
          </w:p>
        </w:tc>
        <w:tc>
          <w:tcPr>
            <w:tcW w:w="1287" w:type="dxa"/>
          </w:tcPr>
          <w:p w14:paraId="78C7586D" w14:textId="407F2E1B"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教授</w:t>
            </w:r>
          </w:p>
        </w:tc>
        <w:tc>
          <w:tcPr>
            <w:tcW w:w="2052" w:type="dxa"/>
            <w:vAlign w:val="center"/>
          </w:tcPr>
          <w:p w14:paraId="129849E8" w14:textId="5A143A5D"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15357137227</w:t>
            </w:r>
          </w:p>
        </w:tc>
      </w:tr>
      <w:tr w:rsidR="006C093B" w14:paraId="69BB2F99" w14:textId="77777777" w:rsidTr="006F6E22">
        <w:trPr>
          <w:jc w:val="center"/>
        </w:trPr>
        <w:tc>
          <w:tcPr>
            <w:tcW w:w="694" w:type="dxa"/>
            <w:vAlign w:val="center"/>
          </w:tcPr>
          <w:p w14:paraId="07825964"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7</w:t>
            </w:r>
          </w:p>
        </w:tc>
        <w:tc>
          <w:tcPr>
            <w:tcW w:w="1323" w:type="dxa"/>
            <w:vAlign w:val="center"/>
          </w:tcPr>
          <w:p w14:paraId="2EAC081A" w14:textId="7AE3A0F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373" w:type="dxa"/>
          </w:tcPr>
          <w:p w14:paraId="18BF9ED2" w14:textId="53DA5B0B"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842" w:type="dxa"/>
            <w:vAlign w:val="center"/>
          </w:tcPr>
          <w:p w14:paraId="0A3C9BCF" w14:textId="666BE26D"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287" w:type="dxa"/>
          </w:tcPr>
          <w:p w14:paraId="52320C8B" w14:textId="1A8E76AF"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052" w:type="dxa"/>
            <w:vAlign w:val="center"/>
          </w:tcPr>
          <w:p w14:paraId="6518211D"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r>
      <w:tr w:rsidR="006C093B" w14:paraId="3B1B96EC" w14:textId="77777777" w:rsidTr="006F6E22">
        <w:trPr>
          <w:jc w:val="center"/>
        </w:trPr>
        <w:tc>
          <w:tcPr>
            <w:tcW w:w="694" w:type="dxa"/>
            <w:vAlign w:val="center"/>
          </w:tcPr>
          <w:p w14:paraId="4D1DE729"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8</w:t>
            </w:r>
          </w:p>
        </w:tc>
        <w:tc>
          <w:tcPr>
            <w:tcW w:w="1323" w:type="dxa"/>
            <w:vAlign w:val="center"/>
          </w:tcPr>
          <w:p w14:paraId="0F39DCED" w14:textId="1B0B987C"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373" w:type="dxa"/>
          </w:tcPr>
          <w:p w14:paraId="39DD1916" w14:textId="1C5F9CB5"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842" w:type="dxa"/>
            <w:vAlign w:val="center"/>
          </w:tcPr>
          <w:p w14:paraId="7218222D" w14:textId="64BC06D9"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287" w:type="dxa"/>
            <w:vAlign w:val="center"/>
          </w:tcPr>
          <w:p w14:paraId="22E4199A" w14:textId="512DCA70"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052" w:type="dxa"/>
            <w:vAlign w:val="center"/>
          </w:tcPr>
          <w:p w14:paraId="23B6E929" w14:textId="09A31A1F"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r>
      <w:tr w:rsidR="006C093B" w14:paraId="11431DFB" w14:textId="77777777" w:rsidTr="006F6E22">
        <w:trPr>
          <w:jc w:val="center"/>
        </w:trPr>
        <w:tc>
          <w:tcPr>
            <w:tcW w:w="694" w:type="dxa"/>
            <w:vAlign w:val="center"/>
          </w:tcPr>
          <w:p w14:paraId="2C79AB16"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r>
              <w:rPr>
                <w:rFonts w:ascii="宋体" w:eastAsia="宋体" w:hAnsi="宋体" w:cs="Times New Roman" w:hint="eastAsia"/>
                <w:sz w:val="21"/>
                <w:szCs w:val="21"/>
              </w:rPr>
              <w:t>9</w:t>
            </w:r>
          </w:p>
        </w:tc>
        <w:tc>
          <w:tcPr>
            <w:tcW w:w="1323" w:type="dxa"/>
            <w:vAlign w:val="center"/>
          </w:tcPr>
          <w:p w14:paraId="52A52C2E" w14:textId="1C282619"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373" w:type="dxa"/>
          </w:tcPr>
          <w:p w14:paraId="259CBB9A" w14:textId="1B836E38"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842" w:type="dxa"/>
            <w:vAlign w:val="center"/>
          </w:tcPr>
          <w:p w14:paraId="08D5C316" w14:textId="51E36416"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1287" w:type="dxa"/>
            <w:vAlign w:val="center"/>
          </w:tcPr>
          <w:p w14:paraId="0BA9E90E" w14:textId="4D80665A"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c>
          <w:tcPr>
            <w:tcW w:w="2052" w:type="dxa"/>
            <w:vAlign w:val="center"/>
          </w:tcPr>
          <w:p w14:paraId="105E6B32" w14:textId="26E58086"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sz w:val="21"/>
                <w:szCs w:val="21"/>
              </w:rPr>
            </w:pPr>
          </w:p>
        </w:tc>
      </w:tr>
      <w:tr w:rsidR="006C093B" w14:paraId="3217522E" w14:textId="77777777" w:rsidTr="006F6E22">
        <w:trPr>
          <w:jc w:val="center"/>
        </w:trPr>
        <w:tc>
          <w:tcPr>
            <w:tcW w:w="9571" w:type="dxa"/>
            <w:gridSpan w:val="6"/>
            <w:vAlign w:val="center"/>
          </w:tcPr>
          <w:p w14:paraId="56E1DE3B" w14:textId="77777777" w:rsidR="006C093B" w:rsidRDefault="006C093B" w:rsidP="006C093B">
            <w:pPr>
              <w:tabs>
                <w:tab w:val="center" w:pos="4201"/>
                <w:tab w:val="right" w:leader="dot" w:pos="9298"/>
              </w:tabs>
              <w:autoSpaceDE w:val="0"/>
              <w:autoSpaceDN w:val="0"/>
              <w:spacing w:after="0"/>
              <w:jc w:val="center"/>
              <w:rPr>
                <w:rFonts w:ascii="宋体" w:eastAsia="宋体" w:hAnsi="宋体" w:cs="Times New Roman" w:hint="eastAsia"/>
                <w:b/>
                <w:bCs/>
                <w:sz w:val="21"/>
                <w:szCs w:val="21"/>
              </w:rPr>
            </w:pPr>
            <w:r>
              <w:rPr>
                <w:rFonts w:ascii="宋体" w:eastAsia="宋体" w:hAnsi="宋体" w:cs="宋体" w:hint="eastAsia"/>
                <w:b/>
                <w:bCs/>
                <w:sz w:val="21"/>
                <w:szCs w:val="21"/>
              </w:rPr>
              <w:t>编制情况</w:t>
            </w:r>
          </w:p>
        </w:tc>
      </w:tr>
      <w:tr w:rsidR="006C093B" w14:paraId="161CA046" w14:textId="77777777" w:rsidTr="006F6E22">
        <w:trPr>
          <w:jc w:val="center"/>
        </w:trPr>
        <w:tc>
          <w:tcPr>
            <w:tcW w:w="9571" w:type="dxa"/>
            <w:gridSpan w:val="6"/>
            <w:vAlign w:val="center"/>
          </w:tcPr>
          <w:p w14:paraId="43B872E5"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宋体"/>
                <w:sz w:val="21"/>
                <w:szCs w:val="21"/>
              </w:rPr>
              <w:t>1</w:t>
            </w:r>
            <w:r>
              <w:rPr>
                <w:rFonts w:ascii="宋体" w:eastAsia="宋体" w:hAnsi="宋体" w:cs="宋体" w:hint="eastAsia"/>
                <w:sz w:val="21"/>
                <w:szCs w:val="21"/>
              </w:rPr>
              <w:t>、编制过程简介</w:t>
            </w:r>
          </w:p>
        </w:tc>
      </w:tr>
      <w:tr w:rsidR="006C093B" w14:paraId="3D79632C" w14:textId="77777777" w:rsidTr="006F6E22">
        <w:trPr>
          <w:jc w:val="center"/>
        </w:trPr>
        <w:tc>
          <w:tcPr>
            <w:tcW w:w="9571" w:type="dxa"/>
            <w:gridSpan w:val="6"/>
            <w:vAlign w:val="center"/>
          </w:tcPr>
          <w:p w14:paraId="633D522D" w14:textId="1BE33E00" w:rsidR="006C093B" w:rsidRDefault="006C093B" w:rsidP="006C093B">
            <w:pPr>
              <w:tabs>
                <w:tab w:val="center" w:pos="4201"/>
                <w:tab w:val="right" w:leader="dot" w:pos="9298"/>
              </w:tabs>
              <w:autoSpaceDE w:val="0"/>
              <w:autoSpaceDN w:val="0"/>
              <w:spacing w:after="0"/>
              <w:ind w:firstLineChars="200" w:firstLine="420"/>
              <w:rPr>
                <w:rFonts w:ascii="宋体" w:eastAsia="宋体" w:hAnsi="宋体" w:cs="Times New Roman" w:hint="eastAsia"/>
                <w:sz w:val="21"/>
                <w:szCs w:val="21"/>
              </w:rPr>
            </w:pPr>
            <w:r>
              <w:rPr>
                <w:rFonts w:ascii="宋体" w:eastAsia="宋体" w:hAnsi="宋体" w:cs="宋体"/>
                <w:sz w:val="21"/>
                <w:szCs w:val="21"/>
              </w:rPr>
              <w:t>2023</w:t>
            </w:r>
            <w:r>
              <w:rPr>
                <w:rFonts w:ascii="宋体" w:eastAsia="宋体" w:hAnsi="宋体" w:cs="宋体" w:hint="eastAsia"/>
                <w:sz w:val="21"/>
                <w:szCs w:val="21"/>
              </w:rPr>
              <w:t>年</w:t>
            </w:r>
            <w:r>
              <w:rPr>
                <w:rFonts w:ascii="宋体" w:eastAsia="宋体" w:hAnsi="宋体" w:cs="宋体"/>
                <w:sz w:val="21"/>
                <w:szCs w:val="21"/>
              </w:rPr>
              <w:t>4</w:t>
            </w:r>
            <w:r>
              <w:rPr>
                <w:rFonts w:ascii="宋体" w:eastAsia="宋体" w:hAnsi="宋体" w:cs="宋体" w:hint="eastAsia"/>
                <w:sz w:val="21"/>
                <w:szCs w:val="21"/>
              </w:rPr>
              <w:t>月</w:t>
            </w:r>
            <w:r>
              <w:rPr>
                <w:rFonts w:ascii="宋体" w:eastAsia="宋体" w:hAnsi="宋体" w:cs="宋体"/>
                <w:sz w:val="21"/>
                <w:szCs w:val="21"/>
              </w:rPr>
              <w:t>18</w:t>
            </w:r>
            <w:r>
              <w:rPr>
                <w:rFonts w:ascii="宋体" w:eastAsia="宋体" w:hAnsi="宋体" w:cs="宋体" w:hint="eastAsia"/>
                <w:sz w:val="21"/>
                <w:szCs w:val="21"/>
              </w:rPr>
              <w:t>日，收到《</w:t>
            </w:r>
            <w:r w:rsidRPr="0099121E">
              <w:rPr>
                <w:rFonts w:ascii="宋体" w:eastAsia="宋体" w:hAnsi="宋体" w:cs="宋体" w:hint="eastAsia"/>
                <w:sz w:val="21"/>
                <w:szCs w:val="21"/>
              </w:rPr>
              <w:t>关于下达2023年滁州市地方标准制定项目计划的通知</w:t>
            </w:r>
            <w:r>
              <w:rPr>
                <w:rFonts w:ascii="宋体" w:eastAsia="宋体" w:hAnsi="宋体" w:cs="宋体" w:hint="eastAsia"/>
                <w:sz w:val="21"/>
                <w:szCs w:val="21"/>
              </w:rPr>
              <w:t>》后，成立标准编制小组，成员有</w:t>
            </w:r>
            <w:r w:rsidRPr="00471797">
              <w:rPr>
                <w:rFonts w:ascii="宋体" w:eastAsia="宋体" w:hAnsi="宋体" w:cs="宋体" w:hint="eastAsia"/>
                <w:sz w:val="21"/>
                <w:szCs w:val="21"/>
              </w:rPr>
              <w:t>刘广东、晋秀龙、钱朝阳、詹杰、陶四庆、王涛</w:t>
            </w:r>
            <w:r>
              <w:rPr>
                <w:rFonts w:ascii="宋体" w:eastAsia="宋体" w:hAnsi="宋体" w:cs="宋体" w:hint="eastAsia"/>
                <w:sz w:val="21"/>
                <w:szCs w:val="21"/>
              </w:rPr>
              <w:t>。</w:t>
            </w:r>
          </w:p>
          <w:p w14:paraId="428683C1" w14:textId="26A491B9" w:rsidR="006C093B" w:rsidRPr="003F1233" w:rsidRDefault="006C093B" w:rsidP="006C093B">
            <w:pPr>
              <w:tabs>
                <w:tab w:val="center" w:pos="4201"/>
                <w:tab w:val="right" w:leader="dot" w:pos="9298"/>
              </w:tabs>
              <w:autoSpaceDE w:val="0"/>
              <w:autoSpaceDN w:val="0"/>
              <w:spacing w:after="0"/>
              <w:ind w:firstLineChars="200" w:firstLine="420"/>
              <w:rPr>
                <w:rFonts w:ascii="宋体" w:eastAsia="宋体" w:hAnsi="宋体" w:cs="Times New Roman" w:hint="eastAsia"/>
                <w:sz w:val="21"/>
                <w:szCs w:val="21"/>
              </w:rPr>
            </w:pPr>
            <w:r w:rsidRPr="00245F48">
              <w:rPr>
                <w:rFonts w:ascii="宋体" w:eastAsia="宋体" w:hAnsi="宋体" w:cs="宋体" w:hint="eastAsia"/>
                <w:color w:val="000000" w:themeColor="text1"/>
                <w:sz w:val="21"/>
                <w:szCs w:val="21"/>
              </w:rPr>
              <w:t>标准起草过程：2</w:t>
            </w:r>
            <w:r w:rsidRPr="00245F48">
              <w:rPr>
                <w:rFonts w:ascii="宋体" w:eastAsia="宋体" w:hAnsi="宋体" w:cs="宋体"/>
                <w:color w:val="000000" w:themeColor="text1"/>
                <w:sz w:val="21"/>
                <w:szCs w:val="21"/>
              </w:rPr>
              <w:t>023</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5</w:t>
            </w:r>
            <w:r w:rsidRPr="00245F48">
              <w:rPr>
                <w:rFonts w:ascii="宋体" w:eastAsia="宋体" w:hAnsi="宋体" w:cs="宋体" w:hint="eastAsia"/>
                <w:color w:val="000000" w:themeColor="text1"/>
                <w:sz w:val="21"/>
                <w:szCs w:val="21"/>
              </w:rPr>
              <w:t>月-</w:t>
            </w:r>
            <w:r w:rsidRPr="00245F48">
              <w:rPr>
                <w:rFonts w:ascii="宋体" w:eastAsia="宋体" w:hAnsi="宋体" w:cs="宋体"/>
                <w:color w:val="000000" w:themeColor="text1"/>
                <w:sz w:val="21"/>
                <w:szCs w:val="21"/>
              </w:rPr>
              <w:t>2024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2</w:t>
            </w:r>
            <w:r w:rsidRPr="00245F48">
              <w:rPr>
                <w:rFonts w:ascii="宋体" w:eastAsia="宋体" w:hAnsi="宋体" w:cs="宋体" w:hint="eastAsia"/>
                <w:color w:val="000000" w:themeColor="text1"/>
                <w:sz w:val="21"/>
                <w:szCs w:val="21"/>
              </w:rPr>
              <w:t>月，标准起草组走访调研</w:t>
            </w:r>
            <w:r>
              <w:rPr>
                <w:rFonts w:ascii="宋体" w:eastAsia="宋体" w:hAnsi="宋体" w:cs="宋体" w:hint="eastAsia"/>
                <w:color w:val="000000" w:themeColor="text1"/>
                <w:sz w:val="21"/>
                <w:szCs w:val="21"/>
              </w:rPr>
              <w:t>区域重要文化旅游景区</w:t>
            </w:r>
            <w:r w:rsidRPr="00245F48">
              <w:rPr>
                <w:rFonts w:ascii="宋体" w:eastAsia="宋体" w:hAnsi="宋体" w:cs="宋体" w:hint="eastAsia"/>
                <w:color w:val="000000" w:themeColor="text1"/>
                <w:sz w:val="21"/>
                <w:szCs w:val="21"/>
              </w:rPr>
              <w:t>参与主体，明确业务数据的格式及流转过程，为标准制定提供参考；2</w:t>
            </w:r>
            <w:r w:rsidRPr="00245F48">
              <w:rPr>
                <w:rFonts w:ascii="宋体" w:eastAsia="宋体" w:hAnsi="宋体" w:cs="宋体"/>
                <w:color w:val="000000" w:themeColor="text1"/>
                <w:sz w:val="21"/>
                <w:szCs w:val="21"/>
              </w:rPr>
              <w:t>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4</w:t>
            </w:r>
            <w:r w:rsidRPr="00245F48">
              <w:rPr>
                <w:rFonts w:ascii="宋体" w:eastAsia="宋体" w:hAnsi="宋体" w:cs="宋体" w:hint="eastAsia"/>
                <w:color w:val="000000" w:themeColor="text1"/>
                <w:sz w:val="21"/>
                <w:szCs w:val="21"/>
              </w:rPr>
              <w:t>月，完成标准草案制定；2</w:t>
            </w:r>
            <w:r w:rsidRPr="00245F48">
              <w:rPr>
                <w:rFonts w:ascii="宋体" w:eastAsia="宋体" w:hAnsi="宋体" w:cs="宋体"/>
                <w:color w:val="000000" w:themeColor="text1"/>
                <w:sz w:val="21"/>
                <w:szCs w:val="21"/>
              </w:rPr>
              <w:t>024</w:t>
            </w:r>
            <w:r w:rsidRPr="00245F48">
              <w:rPr>
                <w:rFonts w:ascii="宋体" w:eastAsia="宋体" w:hAnsi="宋体" w:cs="宋体" w:hint="eastAsia"/>
                <w:color w:val="000000" w:themeColor="text1"/>
                <w:sz w:val="21"/>
                <w:szCs w:val="21"/>
              </w:rPr>
              <w:t>年</w:t>
            </w:r>
            <w:r w:rsidRPr="00245F48">
              <w:rPr>
                <w:rFonts w:ascii="宋体" w:eastAsia="宋体" w:hAnsi="宋体" w:cs="宋体"/>
                <w:color w:val="000000" w:themeColor="text1"/>
                <w:sz w:val="21"/>
                <w:szCs w:val="21"/>
              </w:rPr>
              <w:t>5</w:t>
            </w:r>
            <w:r w:rsidRPr="00245F48">
              <w:rPr>
                <w:rFonts w:ascii="宋体" w:eastAsia="宋体" w:hAnsi="宋体" w:cs="宋体" w:hint="eastAsia"/>
                <w:color w:val="000000" w:themeColor="text1"/>
                <w:sz w:val="21"/>
                <w:szCs w:val="21"/>
              </w:rPr>
              <w:t>月-</w:t>
            </w:r>
            <w:r w:rsidRPr="00245F48">
              <w:rPr>
                <w:rFonts w:ascii="宋体" w:eastAsia="宋体" w:hAnsi="宋体" w:cs="宋体"/>
                <w:color w:val="000000" w:themeColor="text1"/>
                <w:sz w:val="21"/>
                <w:szCs w:val="21"/>
              </w:rPr>
              <w:t>8</w:t>
            </w:r>
            <w:r w:rsidRPr="00245F48">
              <w:rPr>
                <w:rFonts w:ascii="宋体" w:eastAsia="宋体" w:hAnsi="宋体" w:cs="宋体" w:hint="eastAsia"/>
                <w:color w:val="000000" w:themeColor="text1"/>
                <w:sz w:val="21"/>
                <w:szCs w:val="21"/>
              </w:rPr>
              <w:t>月，经过多次研讨论证，形成标准征求意见稿。</w:t>
            </w:r>
          </w:p>
        </w:tc>
      </w:tr>
      <w:tr w:rsidR="006C093B" w14:paraId="129F0161" w14:textId="77777777" w:rsidTr="006F6E22">
        <w:trPr>
          <w:jc w:val="center"/>
        </w:trPr>
        <w:tc>
          <w:tcPr>
            <w:tcW w:w="9571" w:type="dxa"/>
            <w:gridSpan w:val="6"/>
            <w:vAlign w:val="center"/>
          </w:tcPr>
          <w:p w14:paraId="74DE6393"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宋体"/>
                <w:sz w:val="21"/>
                <w:szCs w:val="21"/>
              </w:rPr>
              <w:t>2</w:t>
            </w:r>
            <w:r>
              <w:rPr>
                <w:rFonts w:ascii="宋体" w:eastAsia="宋体" w:hAnsi="宋体" w:cs="宋体" w:hint="eastAsia"/>
                <w:sz w:val="21"/>
                <w:szCs w:val="21"/>
              </w:rPr>
              <w:t>、制定标准的必要性和意义</w:t>
            </w:r>
          </w:p>
        </w:tc>
      </w:tr>
      <w:tr w:rsidR="006C093B" w14:paraId="7C050A4F" w14:textId="77777777" w:rsidTr="006F6E22">
        <w:trPr>
          <w:jc w:val="center"/>
        </w:trPr>
        <w:tc>
          <w:tcPr>
            <w:tcW w:w="9571" w:type="dxa"/>
            <w:gridSpan w:val="6"/>
            <w:vAlign w:val="center"/>
          </w:tcPr>
          <w:p w14:paraId="7904AD31" w14:textId="77777777" w:rsidR="006C093B" w:rsidRDefault="006C093B" w:rsidP="006C093B">
            <w:pPr>
              <w:widowControl w:val="0"/>
              <w:tabs>
                <w:tab w:val="center" w:pos="4201"/>
                <w:tab w:val="right" w:leader="dot" w:pos="9298"/>
              </w:tabs>
              <w:autoSpaceDE w:val="0"/>
              <w:autoSpaceDN w:val="0"/>
              <w:spacing w:after="0"/>
              <w:rPr>
                <w:rFonts w:ascii="宋体" w:eastAsia="宋体" w:hAnsi="宋体" w:cs="宋体"/>
                <w:b/>
                <w:bCs/>
                <w:sz w:val="21"/>
                <w:szCs w:val="21"/>
              </w:rPr>
            </w:pPr>
            <w:r w:rsidRPr="00D05137">
              <w:rPr>
                <w:rFonts w:ascii="宋体" w:eastAsia="宋体" w:hAnsi="宋体" w:cs="宋体" w:hint="eastAsia"/>
                <w:b/>
                <w:bCs/>
                <w:sz w:val="21"/>
                <w:szCs w:val="21"/>
              </w:rPr>
              <w:t>必要性：</w:t>
            </w:r>
          </w:p>
          <w:p w14:paraId="24B43D23" w14:textId="05262AE9" w:rsidR="006C093B" w:rsidRPr="008D216D" w:rsidRDefault="006C093B" w:rsidP="006C093B">
            <w:pPr>
              <w:widowControl w:val="0"/>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宋体" w:hint="eastAsia"/>
                <w:b/>
                <w:bCs/>
                <w:sz w:val="21"/>
                <w:szCs w:val="21"/>
              </w:rPr>
              <w:t xml:space="preserve">    </w:t>
            </w:r>
            <w:r w:rsidRPr="008D216D">
              <w:rPr>
                <w:rFonts w:ascii="宋体" w:eastAsia="宋体" w:hAnsi="宋体" w:cs="宋体" w:hint="eastAsia"/>
                <w:sz w:val="21"/>
                <w:szCs w:val="21"/>
              </w:rPr>
              <w:t xml:space="preserve"> </w:t>
            </w:r>
            <w:r w:rsidRPr="008D216D">
              <w:rPr>
                <w:rFonts w:ascii="宋体" w:eastAsia="宋体" w:hAnsi="宋体" w:cs="宋体" w:hint="eastAsia"/>
                <w:sz w:val="21"/>
                <w:szCs w:val="21"/>
              </w:rPr>
              <w:t>融合IPv6技术的智慧</w:t>
            </w:r>
            <w:proofErr w:type="gramStart"/>
            <w:r w:rsidRPr="008D216D">
              <w:rPr>
                <w:rFonts w:ascii="宋体" w:eastAsia="宋体" w:hAnsi="宋体" w:cs="宋体" w:hint="eastAsia"/>
                <w:sz w:val="21"/>
                <w:szCs w:val="21"/>
              </w:rPr>
              <w:t>文旅综合</w:t>
            </w:r>
            <w:proofErr w:type="gramEnd"/>
            <w:r w:rsidRPr="008D216D">
              <w:rPr>
                <w:rFonts w:ascii="宋体" w:eastAsia="宋体" w:hAnsi="宋体" w:cs="宋体" w:hint="eastAsia"/>
                <w:sz w:val="21"/>
                <w:szCs w:val="21"/>
              </w:rPr>
              <w:t>管理服务平台数据采集标准对平台效率、数据共享与互通、数据安全以及推动</w:t>
            </w:r>
            <w:proofErr w:type="gramStart"/>
            <w:r w:rsidRPr="008D216D">
              <w:rPr>
                <w:rFonts w:ascii="宋体" w:eastAsia="宋体" w:hAnsi="宋体" w:cs="宋体" w:hint="eastAsia"/>
                <w:sz w:val="21"/>
                <w:szCs w:val="21"/>
              </w:rPr>
              <w:t>文旅产业</w:t>
            </w:r>
            <w:proofErr w:type="gramEnd"/>
            <w:r w:rsidRPr="008D216D">
              <w:rPr>
                <w:rFonts w:ascii="宋体" w:eastAsia="宋体" w:hAnsi="宋体" w:cs="宋体" w:hint="eastAsia"/>
                <w:sz w:val="21"/>
                <w:szCs w:val="21"/>
              </w:rPr>
              <w:t>发展等方面都有着积极的影响。首先，在智慧</w:t>
            </w:r>
            <w:proofErr w:type="gramStart"/>
            <w:r w:rsidRPr="008D216D">
              <w:rPr>
                <w:rFonts w:ascii="宋体" w:eastAsia="宋体" w:hAnsi="宋体" w:cs="宋体" w:hint="eastAsia"/>
                <w:sz w:val="21"/>
                <w:szCs w:val="21"/>
              </w:rPr>
              <w:t>文旅综合</w:t>
            </w:r>
            <w:proofErr w:type="gramEnd"/>
            <w:r w:rsidRPr="008D216D">
              <w:rPr>
                <w:rFonts w:ascii="宋体" w:eastAsia="宋体" w:hAnsi="宋体" w:cs="宋体" w:hint="eastAsia"/>
                <w:sz w:val="21"/>
                <w:szCs w:val="21"/>
              </w:rPr>
              <w:t>管理服务平台中，数据的质量直接关系到平台的运行效率和用户体验。其次，数据采集标准有助于促进不同系统之间的数据共享和互通。通过统一的数据采集标准，可以确保这些数据能够无缝对接，避免信息孤岛，提升决策的科学性和实效性。同时标准化的数据采集还有助于保障数据安全。通过制定严格的数据采集和处理标准，可以加强对数据的保护，防止数据泄露和滥用，确保</w:t>
            </w:r>
            <w:proofErr w:type="gramStart"/>
            <w:r w:rsidRPr="008D216D">
              <w:rPr>
                <w:rFonts w:ascii="宋体" w:eastAsia="宋体" w:hAnsi="宋体" w:cs="宋体" w:hint="eastAsia"/>
                <w:sz w:val="21"/>
                <w:szCs w:val="21"/>
              </w:rPr>
              <w:t>文旅机构</w:t>
            </w:r>
            <w:proofErr w:type="gramEnd"/>
            <w:r w:rsidRPr="008D216D">
              <w:rPr>
                <w:rFonts w:ascii="宋体" w:eastAsia="宋体" w:hAnsi="宋体" w:cs="宋体" w:hint="eastAsia"/>
                <w:sz w:val="21"/>
                <w:szCs w:val="21"/>
              </w:rPr>
              <w:t>和游客的个人信息安全</w:t>
            </w:r>
            <w:r w:rsidRPr="008D216D">
              <w:rPr>
                <w:rFonts w:ascii="Times New Roman" w:eastAsia="宋体" w:hAnsi="Times New Roman" w:cs="Times New Roman"/>
                <w:sz w:val="21"/>
                <w:szCs w:val="21"/>
              </w:rPr>
              <w:t>‌</w:t>
            </w:r>
            <w:r w:rsidRPr="008D216D">
              <w:rPr>
                <w:rFonts w:ascii="宋体" w:eastAsia="宋体" w:hAnsi="宋体" w:cs="宋体" w:hint="eastAsia"/>
                <w:sz w:val="21"/>
                <w:szCs w:val="21"/>
              </w:rPr>
              <w:t>。最后，标准化的数据采集对于推动</w:t>
            </w:r>
            <w:proofErr w:type="gramStart"/>
            <w:r w:rsidRPr="008D216D">
              <w:rPr>
                <w:rFonts w:ascii="宋体" w:eastAsia="宋体" w:hAnsi="宋体" w:cs="宋体" w:hint="eastAsia"/>
                <w:sz w:val="21"/>
                <w:szCs w:val="21"/>
              </w:rPr>
              <w:t>文旅产业</w:t>
            </w:r>
            <w:proofErr w:type="gramEnd"/>
            <w:r w:rsidRPr="008D216D">
              <w:rPr>
                <w:rFonts w:ascii="宋体" w:eastAsia="宋体" w:hAnsi="宋体" w:cs="宋体" w:hint="eastAsia"/>
                <w:sz w:val="21"/>
                <w:szCs w:val="21"/>
              </w:rPr>
              <w:t>的发展至关重要。随着技术的进步，</w:t>
            </w:r>
            <w:proofErr w:type="gramStart"/>
            <w:r w:rsidRPr="008D216D">
              <w:rPr>
                <w:rFonts w:ascii="宋体" w:eastAsia="宋体" w:hAnsi="宋体" w:cs="宋体" w:hint="eastAsia"/>
                <w:sz w:val="21"/>
                <w:szCs w:val="21"/>
              </w:rPr>
              <w:t>文旅产业</w:t>
            </w:r>
            <w:proofErr w:type="gramEnd"/>
            <w:r w:rsidRPr="008D216D">
              <w:rPr>
                <w:rFonts w:ascii="宋体" w:eastAsia="宋体" w:hAnsi="宋体" w:cs="宋体" w:hint="eastAsia"/>
                <w:sz w:val="21"/>
                <w:szCs w:val="21"/>
              </w:rPr>
              <w:t>正在向数字化、智能化方向发展。通过融合</w:t>
            </w:r>
            <w:r w:rsidRPr="008D216D">
              <w:rPr>
                <w:rFonts w:ascii="宋体" w:eastAsia="宋体" w:hAnsi="宋体" w:cs="宋体"/>
                <w:sz w:val="21"/>
                <w:szCs w:val="21"/>
              </w:rPr>
              <w:t>IPv6</w:t>
            </w:r>
            <w:r w:rsidRPr="008D216D">
              <w:rPr>
                <w:rFonts w:ascii="宋体" w:eastAsia="宋体" w:hAnsi="宋体" w:cs="宋体" w:hint="eastAsia"/>
                <w:sz w:val="21"/>
                <w:szCs w:val="21"/>
              </w:rPr>
              <w:t>技术的智慧</w:t>
            </w:r>
            <w:proofErr w:type="gramStart"/>
            <w:r w:rsidRPr="008D216D">
              <w:rPr>
                <w:rFonts w:ascii="宋体" w:eastAsia="宋体" w:hAnsi="宋体" w:cs="宋体" w:hint="eastAsia"/>
                <w:sz w:val="21"/>
                <w:szCs w:val="21"/>
              </w:rPr>
              <w:t>文旅综合</w:t>
            </w:r>
            <w:proofErr w:type="gramEnd"/>
            <w:r w:rsidRPr="008D216D">
              <w:rPr>
                <w:rFonts w:ascii="宋体" w:eastAsia="宋体" w:hAnsi="宋体" w:cs="宋体" w:hint="eastAsia"/>
                <w:sz w:val="21"/>
                <w:szCs w:val="21"/>
              </w:rPr>
              <w:t>管理服务平台，可以更好地整合资源，提供个性化的旅游服务，吸引更多游客，从而推动</w:t>
            </w:r>
            <w:proofErr w:type="gramStart"/>
            <w:r w:rsidRPr="008D216D">
              <w:rPr>
                <w:rFonts w:ascii="宋体" w:eastAsia="宋体" w:hAnsi="宋体" w:cs="宋体" w:hint="eastAsia"/>
                <w:sz w:val="21"/>
                <w:szCs w:val="21"/>
              </w:rPr>
              <w:t>文旅产业</w:t>
            </w:r>
            <w:proofErr w:type="gramEnd"/>
            <w:r w:rsidRPr="008D216D">
              <w:rPr>
                <w:rFonts w:ascii="宋体" w:eastAsia="宋体" w:hAnsi="宋体" w:cs="宋体" w:hint="eastAsia"/>
                <w:sz w:val="21"/>
                <w:szCs w:val="21"/>
              </w:rPr>
              <w:t>的创新和发展</w:t>
            </w:r>
            <w:r w:rsidRPr="008D216D">
              <w:rPr>
                <w:rFonts w:ascii="Times New Roman" w:eastAsia="宋体" w:hAnsi="Times New Roman" w:cs="Times New Roman"/>
                <w:sz w:val="21"/>
                <w:szCs w:val="21"/>
              </w:rPr>
              <w:t>‌</w:t>
            </w:r>
            <w:r w:rsidRPr="008D216D">
              <w:rPr>
                <w:rFonts w:ascii="宋体" w:eastAsia="宋体" w:hAnsi="宋体" w:cs="宋体" w:hint="eastAsia"/>
                <w:sz w:val="21"/>
                <w:szCs w:val="21"/>
              </w:rPr>
              <w:t>。</w:t>
            </w:r>
          </w:p>
          <w:p w14:paraId="1935FDD3" w14:textId="77777777" w:rsidR="006C093B" w:rsidRPr="00D05137" w:rsidRDefault="006C093B" w:rsidP="006C093B">
            <w:pPr>
              <w:widowControl w:val="0"/>
              <w:tabs>
                <w:tab w:val="center" w:pos="4201"/>
                <w:tab w:val="right" w:leader="dot" w:pos="9298"/>
              </w:tabs>
              <w:autoSpaceDE w:val="0"/>
              <w:autoSpaceDN w:val="0"/>
              <w:spacing w:after="0"/>
              <w:rPr>
                <w:rFonts w:ascii="宋体" w:eastAsia="宋体" w:hAnsi="宋体" w:cs="Times New Roman" w:hint="eastAsia"/>
                <w:b/>
                <w:bCs/>
                <w:sz w:val="21"/>
                <w:szCs w:val="21"/>
              </w:rPr>
            </w:pPr>
            <w:r w:rsidRPr="00D05137">
              <w:rPr>
                <w:rFonts w:ascii="宋体" w:eastAsia="宋体" w:hAnsi="宋体" w:cs="宋体" w:hint="eastAsia"/>
                <w:b/>
                <w:bCs/>
                <w:sz w:val="21"/>
                <w:szCs w:val="21"/>
              </w:rPr>
              <w:t>意义：</w:t>
            </w:r>
          </w:p>
          <w:p w14:paraId="47575281" w14:textId="28A35381" w:rsidR="006C093B" w:rsidRPr="008D216D" w:rsidRDefault="006C093B" w:rsidP="006C093B">
            <w:pPr>
              <w:widowControl w:val="0"/>
              <w:tabs>
                <w:tab w:val="center" w:pos="4201"/>
                <w:tab w:val="right" w:leader="dot" w:pos="9298"/>
              </w:tabs>
              <w:autoSpaceDE w:val="0"/>
              <w:autoSpaceDN w:val="0"/>
              <w:spacing w:after="0"/>
              <w:ind w:firstLineChars="200" w:firstLine="420"/>
              <w:rPr>
                <w:rFonts w:ascii="宋体" w:eastAsia="宋体" w:hAnsi="宋体" w:cs="宋体" w:hint="eastAsia"/>
                <w:sz w:val="21"/>
                <w:szCs w:val="21"/>
              </w:rPr>
            </w:pPr>
            <w:r w:rsidRPr="00022E63">
              <w:rPr>
                <w:rFonts w:ascii="宋体" w:eastAsia="宋体" w:hAnsi="宋体" w:cs="宋体" w:hint="eastAsia"/>
                <w:sz w:val="21"/>
                <w:szCs w:val="21"/>
              </w:rPr>
              <w:t>为贯彻落实国家、省“十四五”时期文化旅游业发展总体部署和市“十四五”规划工作要求，加快推进滁州市文化旅游业融入长三角一体化和高质量发展，制定</w:t>
            </w:r>
            <w:proofErr w:type="gramStart"/>
            <w:r w:rsidRPr="00022E63">
              <w:rPr>
                <w:rFonts w:ascii="宋体" w:eastAsia="宋体" w:hAnsi="宋体" w:cs="宋体" w:hint="eastAsia"/>
                <w:sz w:val="21"/>
                <w:szCs w:val="21"/>
              </w:rPr>
              <w:t>滁州文旅</w:t>
            </w:r>
            <w:proofErr w:type="gramEnd"/>
            <w:r w:rsidRPr="00022E63">
              <w:rPr>
                <w:rFonts w:ascii="宋体" w:eastAsia="宋体" w:hAnsi="宋体" w:cs="宋体" w:hint="eastAsia"/>
                <w:sz w:val="21"/>
                <w:szCs w:val="21"/>
              </w:rPr>
              <w:t>IPv6综合管理服务平台数据采集标准，本标准的制定有利于解决网络地址资源数量的问题，而且也解决了多种接入设备连入互联网的障碍，不仅提高网络的安全性和扩展能力，还能提升旅游基础设施建设信息化水平和运营模式的创新水平，进而提高滁州文旅业的竞争力和可持续发展。</w:t>
            </w:r>
            <w:r w:rsidRPr="004E7AFC">
              <w:rPr>
                <w:rFonts w:ascii="宋体" w:eastAsia="宋体" w:hAnsi="宋体" w:cs="宋体"/>
                <w:color w:val="FF0000"/>
                <w:sz w:val="21"/>
                <w:szCs w:val="21"/>
              </w:rPr>
              <w:t xml:space="preserve"> </w:t>
            </w:r>
          </w:p>
        </w:tc>
      </w:tr>
      <w:tr w:rsidR="006C093B" w14:paraId="2E47EA96" w14:textId="77777777" w:rsidTr="006F6E22">
        <w:trPr>
          <w:jc w:val="center"/>
        </w:trPr>
        <w:tc>
          <w:tcPr>
            <w:tcW w:w="9571" w:type="dxa"/>
            <w:gridSpan w:val="6"/>
            <w:vAlign w:val="center"/>
          </w:tcPr>
          <w:p w14:paraId="686964AB" w14:textId="77777777" w:rsidR="006C093B" w:rsidRPr="00F15973"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sidRPr="00F15973">
              <w:rPr>
                <w:rFonts w:ascii="宋体" w:eastAsia="宋体" w:hAnsi="宋体" w:cs="宋体"/>
                <w:sz w:val="21"/>
                <w:szCs w:val="21"/>
              </w:rPr>
              <w:t>3</w:t>
            </w:r>
            <w:r w:rsidRPr="00F15973">
              <w:rPr>
                <w:rFonts w:ascii="宋体" w:eastAsia="宋体" w:hAnsi="宋体" w:cs="宋体" w:hint="eastAsia"/>
                <w:sz w:val="21"/>
                <w:szCs w:val="21"/>
              </w:rPr>
              <w:t>、制定标准的原则和依据，与现行法律法规、标准的关系。</w:t>
            </w:r>
          </w:p>
        </w:tc>
      </w:tr>
      <w:tr w:rsidR="006C093B" w14:paraId="71CB7D4A" w14:textId="77777777" w:rsidTr="006F6E22">
        <w:trPr>
          <w:jc w:val="center"/>
        </w:trPr>
        <w:tc>
          <w:tcPr>
            <w:tcW w:w="9571" w:type="dxa"/>
            <w:gridSpan w:val="6"/>
            <w:vAlign w:val="center"/>
          </w:tcPr>
          <w:p w14:paraId="17FF36A4" w14:textId="77777777" w:rsidR="006C093B" w:rsidRPr="00F15973" w:rsidRDefault="006C093B" w:rsidP="006C093B">
            <w:pPr>
              <w:tabs>
                <w:tab w:val="center" w:pos="4201"/>
                <w:tab w:val="right" w:leader="dot" w:pos="9298"/>
              </w:tabs>
              <w:autoSpaceDE w:val="0"/>
              <w:autoSpaceDN w:val="0"/>
              <w:spacing w:after="0"/>
              <w:rPr>
                <w:rFonts w:ascii="宋体" w:eastAsia="宋体" w:hAnsi="宋体" w:cs="Times New Roman" w:hint="eastAsia"/>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1)</w:t>
            </w:r>
            <w:r w:rsidRPr="00F15973">
              <w:rPr>
                <w:rFonts w:ascii="宋体" w:eastAsia="宋体" w:hAnsi="宋体" w:cs="Times New Roman" w:hint="eastAsia"/>
                <w:b/>
                <w:bCs/>
                <w:sz w:val="21"/>
                <w:szCs w:val="21"/>
              </w:rPr>
              <w:t>编写原则</w:t>
            </w:r>
          </w:p>
          <w:p w14:paraId="34DFE342" w14:textId="77777777" w:rsidR="006C093B" w:rsidRPr="00F15973" w:rsidRDefault="006C093B" w:rsidP="006C093B">
            <w:pPr>
              <w:tabs>
                <w:tab w:val="center" w:pos="4201"/>
                <w:tab w:val="right" w:leader="dot" w:pos="9298"/>
              </w:tabs>
              <w:autoSpaceDE w:val="0"/>
              <w:autoSpaceDN w:val="0"/>
              <w:spacing w:after="0"/>
              <w:ind w:firstLineChars="200" w:firstLine="420"/>
              <w:rPr>
                <w:rFonts w:ascii="宋体" w:eastAsia="宋体" w:hAnsi="宋体" w:cs="Times New Roman" w:hint="eastAsia"/>
                <w:sz w:val="21"/>
                <w:szCs w:val="21"/>
              </w:rPr>
            </w:pPr>
            <w:r w:rsidRPr="00F15973">
              <w:rPr>
                <w:rFonts w:ascii="宋体" w:eastAsia="宋体" w:hAnsi="宋体" w:cs="Times New Roman" w:hint="eastAsia"/>
                <w:sz w:val="21"/>
                <w:szCs w:val="21"/>
              </w:rPr>
              <w:t>本标准在制定时主要遵循以下原则：</w:t>
            </w:r>
          </w:p>
          <w:p w14:paraId="0C1E1EDD" w14:textId="77777777" w:rsidR="006C093B" w:rsidRPr="00F15973" w:rsidRDefault="006C093B" w:rsidP="006C093B">
            <w:pPr>
              <w:tabs>
                <w:tab w:val="center" w:pos="4201"/>
                <w:tab w:val="right" w:leader="dot" w:pos="9298"/>
              </w:tabs>
              <w:autoSpaceDE w:val="0"/>
              <w:autoSpaceDN w:val="0"/>
              <w:spacing w:after="0"/>
              <w:ind w:firstLineChars="200" w:firstLine="420"/>
              <w:rPr>
                <w:rFonts w:ascii="宋体" w:eastAsia="宋体" w:hAnsi="宋体" w:cs="Times New Roman" w:hint="eastAsia"/>
                <w:sz w:val="21"/>
                <w:szCs w:val="21"/>
              </w:rPr>
            </w:pPr>
            <w:r w:rsidRPr="00F15973">
              <w:rPr>
                <w:rFonts w:ascii="宋体" w:eastAsia="宋体" w:hAnsi="宋体" w:cs="Times New Roman"/>
                <w:sz w:val="21"/>
                <w:szCs w:val="21"/>
              </w:rPr>
              <w:fldChar w:fldCharType="begin"/>
            </w:r>
            <w:r w:rsidRPr="00F15973">
              <w:rPr>
                <w:rFonts w:ascii="宋体" w:eastAsia="宋体" w:hAnsi="宋体" w:cs="Times New Roman"/>
                <w:sz w:val="21"/>
                <w:szCs w:val="21"/>
              </w:rPr>
              <w:instrText xml:space="preserve"> </w:instrText>
            </w:r>
            <w:r w:rsidRPr="00F15973">
              <w:rPr>
                <w:rFonts w:ascii="宋体" w:eastAsia="宋体" w:hAnsi="宋体" w:cs="Times New Roman" w:hint="eastAsia"/>
                <w:sz w:val="21"/>
                <w:szCs w:val="21"/>
              </w:rPr>
              <w:instrText>= 1 \* GB3</w:instrText>
            </w:r>
            <w:r w:rsidRPr="00F15973">
              <w:rPr>
                <w:rFonts w:ascii="宋体" w:eastAsia="宋体" w:hAnsi="宋体" w:cs="Times New Roman"/>
                <w:sz w:val="21"/>
                <w:szCs w:val="21"/>
              </w:rPr>
              <w:instrText xml:space="preserve"> </w:instrText>
            </w:r>
            <w:r w:rsidRPr="00F15973">
              <w:rPr>
                <w:rFonts w:ascii="宋体" w:eastAsia="宋体" w:hAnsi="宋体" w:cs="Times New Roman"/>
                <w:sz w:val="21"/>
                <w:szCs w:val="21"/>
              </w:rPr>
              <w:fldChar w:fldCharType="separate"/>
            </w:r>
            <w:r w:rsidRPr="00F15973">
              <w:rPr>
                <w:rFonts w:ascii="宋体" w:eastAsia="宋体" w:hAnsi="宋体" w:cs="Times New Roman" w:hint="eastAsia"/>
                <w:noProof/>
                <w:sz w:val="21"/>
                <w:szCs w:val="21"/>
              </w:rPr>
              <w:t>①</w:t>
            </w:r>
            <w:r w:rsidRPr="00F15973">
              <w:rPr>
                <w:rFonts w:ascii="宋体" w:eastAsia="宋体" w:hAnsi="宋体" w:cs="Times New Roman"/>
                <w:sz w:val="21"/>
                <w:szCs w:val="21"/>
              </w:rPr>
              <w:fldChar w:fldCharType="end"/>
            </w:r>
            <w:r w:rsidRPr="00F15973">
              <w:rPr>
                <w:rFonts w:ascii="宋体" w:eastAsia="宋体" w:hAnsi="宋体" w:cs="Times New Roman"/>
                <w:sz w:val="21"/>
                <w:szCs w:val="21"/>
              </w:rPr>
              <w:t xml:space="preserve"> </w:t>
            </w:r>
            <w:r w:rsidRPr="00F15973">
              <w:rPr>
                <w:rFonts w:ascii="宋体" w:eastAsia="宋体" w:hAnsi="宋体" w:cs="Times New Roman" w:hint="eastAsia"/>
                <w:sz w:val="21"/>
                <w:szCs w:val="21"/>
              </w:rPr>
              <w:t>规范性原则：依据GB/T 1.0-2020《标准化工作导则 第1部分：标准化文件的结构和起草规则》的规定起草。</w:t>
            </w:r>
          </w:p>
          <w:p w14:paraId="7A92CD7D" w14:textId="4A1EF618" w:rsidR="006C093B" w:rsidRPr="00F15973" w:rsidRDefault="006C093B" w:rsidP="006C093B">
            <w:pPr>
              <w:tabs>
                <w:tab w:val="center" w:pos="4201"/>
                <w:tab w:val="right" w:leader="dot" w:pos="9298"/>
              </w:tabs>
              <w:autoSpaceDE w:val="0"/>
              <w:autoSpaceDN w:val="0"/>
              <w:spacing w:after="0"/>
              <w:ind w:firstLineChars="200" w:firstLine="420"/>
              <w:rPr>
                <w:rFonts w:ascii="宋体" w:eastAsia="宋体" w:hAnsi="宋体" w:cs="Times New Roman" w:hint="eastAsia"/>
                <w:sz w:val="21"/>
                <w:szCs w:val="21"/>
              </w:rPr>
            </w:pPr>
            <w:r w:rsidRPr="00F15973">
              <w:rPr>
                <w:rFonts w:ascii="宋体" w:eastAsia="宋体" w:hAnsi="宋体" w:cs="Times New Roman"/>
                <w:sz w:val="21"/>
                <w:szCs w:val="21"/>
              </w:rPr>
              <w:lastRenderedPageBreak/>
              <w:fldChar w:fldCharType="begin"/>
            </w:r>
            <w:r w:rsidRPr="00F15973">
              <w:rPr>
                <w:rFonts w:ascii="宋体" w:eastAsia="宋体" w:hAnsi="宋体" w:cs="Times New Roman"/>
                <w:sz w:val="21"/>
                <w:szCs w:val="21"/>
              </w:rPr>
              <w:instrText xml:space="preserve"> </w:instrText>
            </w:r>
            <w:r w:rsidRPr="00F15973">
              <w:rPr>
                <w:rFonts w:ascii="宋体" w:eastAsia="宋体" w:hAnsi="宋体" w:cs="Times New Roman" w:hint="eastAsia"/>
                <w:sz w:val="21"/>
                <w:szCs w:val="21"/>
              </w:rPr>
              <w:instrText>= 2 \* GB3</w:instrText>
            </w:r>
            <w:r w:rsidRPr="00F15973">
              <w:rPr>
                <w:rFonts w:ascii="宋体" w:eastAsia="宋体" w:hAnsi="宋体" w:cs="Times New Roman"/>
                <w:sz w:val="21"/>
                <w:szCs w:val="21"/>
              </w:rPr>
              <w:instrText xml:space="preserve"> </w:instrText>
            </w:r>
            <w:r w:rsidRPr="00F15973">
              <w:rPr>
                <w:rFonts w:ascii="宋体" w:eastAsia="宋体" w:hAnsi="宋体" w:cs="Times New Roman"/>
                <w:sz w:val="21"/>
                <w:szCs w:val="21"/>
              </w:rPr>
              <w:fldChar w:fldCharType="separate"/>
            </w:r>
            <w:r w:rsidRPr="00F15973">
              <w:rPr>
                <w:rFonts w:ascii="宋体" w:eastAsia="宋体" w:hAnsi="宋体" w:cs="Times New Roman" w:hint="eastAsia"/>
                <w:noProof/>
                <w:sz w:val="21"/>
                <w:szCs w:val="21"/>
              </w:rPr>
              <w:t>②</w:t>
            </w:r>
            <w:r w:rsidRPr="00F15973">
              <w:rPr>
                <w:rFonts w:ascii="宋体" w:eastAsia="宋体" w:hAnsi="宋体" w:cs="Times New Roman"/>
                <w:sz w:val="21"/>
                <w:szCs w:val="21"/>
              </w:rPr>
              <w:fldChar w:fldCharType="end"/>
            </w:r>
            <w:r w:rsidRPr="00F15973">
              <w:rPr>
                <w:rFonts w:ascii="宋体" w:eastAsia="宋体" w:hAnsi="宋体" w:cs="Times New Roman"/>
                <w:sz w:val="21"/>
                <w:szCs w:val="21"/>
              </w:rPr>
              <w:t xml:space="preserve"> </w:t>
            </w:r>
            <w:r w:rsidRPr="00F15973">
              <w:rPr>
                <w:rFonts w:ascii="宋体" w:eastAsia="宋体" w:hAnsi="宋体" w:cs="Times New Roman" w:hint="eastAsia"/>
                <w:sz w:val="21"/>
                <w:szCs w:val="21"/>
              </w:rPr>
              <w:t>适用性原则：在同国家相关法律法规和上级标准要求相协调的基础上，结合</w:t>
            </w:r>
            <w:r w:rsidRPr="00F15973">
              <w:rPr>
                <w:rFonts w:ascii="宋体" w:eastAsia="宋体" w:hAnsi="宋体" w:cs="宋体" w:hint="eastAsia"/>
                <w:sz w:val="21"/>
                <w:szCs w:val="21"/>
              </w:rPr>
              <w:t>区域</w:t>
            </w:r>
            <w:proofErr w:type="gramStart"/>
            <w:r>
              <w:rPr>
                <w:rFonts w:ascii="宋体" w:eastAsia="宋体" w:hAnsi="宋体" w:cs="宋体" w:hint="eastAsia"/>
                <w:sz w:val="21"/>
                <w:szCs w:val="21"/>
              </w:rPr>
              <w:t>文旅发展</w:t>
            </w:r>
            <w:proofErr w:type="gramEnd"/>
            <w:r w:rsidRPr="00F15973">
              <w:rPr>
                <w:rFonts w:ascii="宋体" w:eastAsia="宋体" w:hAnsi="宋体" w:cs="Times New Roman" w:hint="eastAsia"/>
                <w:sz w:val="21"/>
                <w:szCs w:val="21"/>
              </w:rPr>
              <w:t>实际，标准内容适用性和可操作性要强。</w:t>
            </w:r>
          </w:p>
          <w:p w14:paraId="6CE22001" w14:textId="77777777" w:rsidR="006C093B" w:rsidRPr="00F15973" w:rsidRDefault="006C093B" w:rsidP="006C093B">
            <w:pPr>
              <w:tabs>
                <w:tab w:val="center" w:pos="4201"/>
                <w:tab w:val="right" w:leader="dot" w:pos="9298"/>
              </w:tabs>
              <w:autoSpaceDE w:val="0"/>
              <w:autoSpaceDN w:val="0"/>
              <w:spacing w:after="0"/>
              <w:rPr>
                <w:rFonts w:ascii="宋体" w:eastAsia="宋体" w:hAnsi="宋体" w:cs="Times New Roman" w:hint="eastAsia"/>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2)</w:t>
            </w:r>
            <w:r w:rsidRPr="00F15973">
              <w:rPr>
                <w:rFonts w:ascii="宋体" w:eastAsia="宋体" w:hAnsi="宋体" w:cs="Times New Roman" w:hint="eastAsia"/>
                <w:b/>
                <w:bCs/>
                <w:sz w:val="21"/>
                <w:szCs w:val="21"/>
              </w:rPr>
              <w:t>编制依据</w:t>
            </w:r>
          </w:p>
          <w:p w14:paraId="39F2C046" w14:textId="77777777" w:rsidR="006C093B" w:rsidRPr="00F15973" w:rsidRDefault="006C093B" w:rsidP="006C093B">
            <w:pPr>
              <w:pStyle w:val="af"/>
              <w:wordWrap w:val="0"/>
              <w:autoSpaceDE/>
              <w:autoSpaceDN/>
              <w:jc w:val="both"/>
              <w:rPr>
                <w:rFonts w:hAnsi="宋体" w:cs="宋体" w:hint="eastAsia"/>
                <w:szCs w:val="21"/>
              </w:rPr>
            </w:pPr>
            <w:r w:rsidRPr="00F15973">
              <w:rPr>
                <w:rFonts w:hAnsi="宋体" w:hint="eastAsia"/>
                <w:szCs w:val="21"/>
              </w:rPr>
              <w:t>本标准的编制</w:t>
            </w:r>
            <w:r>
              <w:rPr>
                <w:rFonts w:hAnsi="宋体" w:hint="eastAsia"/>
                <w:szCs w:val="21"/>
              </w:rPr>
              <w:t>无</w:t>
            </w:r>
            <w:r w:rsidRPr="00F15973">
              <w:rPr>
                <w:rFonts w:hAnsi="宋体" w:hint="eastAsia"/>
                <w:szCs w:val="21"/>
              </w:rPr>
              <w:t>相关</w:t>
            </w:r>
            <w:r>
              <w:rPr>
                <w:rFonts w:hAnsi="宋体" w:hint="eastAsia"/>
                <w:szCs w:val="21"/>
              </w:rPr>
              <w:t>的参考</w:t>
            </w:r>
            <w:r w:rsidRPr="00F15973">
              <w:rPr>
                <w:rFonts w:hAnsi="宋体" w:hint="eastAsia"/>
                <w:szCs w:val="21"/>
              </w:rPr>
              <w:t>标准。</w:t>
            </w:r>
          </w:p>
          <w:p w14:paraId="30C7054A" w14:textId="77777777" w:rsidR="006C093B" w:rsidRPr="00F15973" w:rsidRDefault="006C093B" w:rsidP="006C093B">
            <w:pPr>
              <w:tabs>
                <w:tab w:val="center" w:pos="4201"/>
                <w:tab w:val="right" w:leader="dot" w:pos="9298"/>
              </w:tabs>
              <w:autoSpaceDE w:val="0"/>
              <w:autoSpaceDN w:val="0"/>
              <w:spacing w:after="0"/>
              <w:rPr>
                <w:rFonts w:ascii="宋体" w:eastAsia="宋体" w:hAnsi="宋体" w:cs="Times New Roman" w:hint="eastAsia"/>
                <w:b/>
                <w:bCs/>
                <w:sz w:val="21"/>
                <w:szCs w:val="21"/>
              </w:rPr>
            </w:pPr>
            <w:r w:rsidRPr="00F15973">
              <w:rPr>
                <w:rFonts w:ascii="宋体" w:eastAsia="宋体" w:hAnsi="宋体" w:cs="Times New Roman" w:hint="eastAsia"/>
                <w:b/>
                <w:bCs/>
                <w:sz w:val="21"/>
                <w:szCs w:val="21"/>
              </w:rPr>
              <w:t>(</w:t>
            </w:r>
            <w:r w:rsidRPr="00F15973">
              <w:rPr>
                <w:rFonts w:ascii="宋体" w:eastAsia="宋体" w:hAnsi="宋体" w:cs="Times New Roman"/>
                <w:b/>
                <w:bCs/>
                <w:sz w:val="21"/>
                <w:szCs w:val="21"/>
              </w:rPr>
              <w:t xml:space="preserve">3) </w:t>
            </w:r>
            <w:r w:rsidRPr="00F15973">
              <w:rPr>
                <w:rFonts w:ascii="宋体" w:eastAsia="宋体" w:hAnsi="宋体" w:cs="Times New Roman" w:hint="eastAsia"/>
                <w:b/>
                <w:bCs/>
                <w:sz w:val="21"/>
                <w:szCs w:val="21"/>
              </w:rPr>
              <w:t>与现行法律法规、标准的关系</w:t>
            </w:r>
          </w:p>
          <w:p w14:paraId="5E22A2C6" w14:textId="77777777" w:rsidR="006C093B" w:rsidRPr="00F15973" w:rsidRDefault="006C093B" w:rsidP="006C093B">
            <w:pPr>
              <w:pStyle w:val="af"/>
              <w:wordWrap w:val="0"/>
              <w:autoSpaceDE/>
              <w:autoSpaceDN/>
              <w:jc w:val="both"/>
              <w:rPr>
                <w:rFonts w:hAnsi="宋体" w:hint="eastAsia"/>
                <w:szCs w:val="21"/>
              </w:rPr>
            </w:pPr>
            <w:r w:rsidRPr="00F15973">
              <w:rPr>
                <w:rFonts w:hAnsi="宋体" w:hint="eastAsia"/>
                <w:szCs w:val="21"/>
              </w:rPr>
              <w:t>本标准与国家现行法律、法规和上级相关标准相协调、无冲突。</w:t>
            </w:r>
          </w:p>
        </w:tc>
      </w:tr>
      <w:tr w:rsidR="006C093B" w14:paraId="59912878" w14:textId="77777777" w:rsidTr="006F6E22">
        <w:trPr>
          <w:jc w:val="center"/>
        </w:trPr>
        <w:tc>
          <w:tcPr>
            <w:tcW w:w="9571" w:type="dxa"/>
            <w:gridSpan w:val="6"/>
            <w:vAlign w:val="center"/>
          </w:tcPr>
          <w:p w14:paraId="26926749" w14:textId="77777777" w:rsidR="006C093B" w:rsidRPr="00CE5A8C" w:rsidRDefault="006C093B" w:rsidP="006C093B">
            <w:pPr>
              <w:tabs>
                <w:tab w:val="center" w:pos="4201"/>
                <w:tab w:val="right" w:leader="dot" w:pos="9298"/>
              </w:tabs>
              <w:autoSpaceDE w:val="0"/>
              <w:autoSpaceDN w:val="0"/>
              <w:spacing w:after="0"/>
              <w:rPr>
                <w:rFonts w:ascii="宋体" w:eastAsia="宋体" w:hAnsi="宋体" w:cs="Times New Roman" w:hint="eastAsia"/>
                <w:color w:val="000000" w:themeColor="text1"/>
                <w:sz w:val="21"/>
                <w:szCs w:val="21"/>
              </w:rPr>
            </w:pPr>
            <w:r w:rsidRPr="00CE5A8C">
              <w:rPr>
                <w:rFonts w:ascii="宋体" w:eastAsia="宋体" w:hAnsi="宋体" w:cs="宋体"/>
                <w:color w:val="000000" w:themeColor="text1"/>
                <w:sz w:val="21"/>
                <w:szCs w:val="21"/>
              </w:rPr>
              <w:lastRenderedPageBreak/>
              <w:t>4</w:t>
            </w:r>
            <w:r w:rsidRPr="00CE5A8C">
              <w:rPr>
                <w:rFonts w:ascii="宋体" w:eastAsia="宋体" w:hAnsi="宋体" w:cs="宋体" w:hint="eastAsia"/>
                <w:color w:val="000000" w:themeColor="text1"/>
                <w:sz w:val="21"/>
                <w:szCs w:val="21"/>
              </w:rPr>
              <w:t>、主要条款的说明，主要技术指标、参数、试验验证的论述（</w:t>
            </w:r>
            <w:r w:rsidRPr="00CE5A8C">
              <w:rPr>
                <w:rFonts w:ascii="宋体" w:eastAsia="宋体" w:hAnsi="宋体" w:cs="宋体" w:hint="eastAsia"/>
                <w:b/>
                <w:bCs/>
                <w:color w:val="000000" w:themeColor="text1"/>
                <w:sz w:val="21"/>
                <w:szCs w:val="21"/>
              </w:rPr>
              <w:t>详细说明</w:t>
            </w:r>
            <w:r w:rsidRPr="00CE5A8C">
              <w:rPr>
                <w:rFonts w:ascii="宋体" w:eastAsia="宋体" w:hAnsi="宋体" w:cs="宋体" w:hint="eastAsia"/>
                <w:color w:val="000000" w:themeColor="text1"/>
                <w:sz w:val="21"/>
                <w:szCs w:val="21"/>
              </w:rPr>
              <w:t>）</w:t>
            </w:r>
          </w:p>
        </w:tc>
      </w:tr>
      <w:tr w:rsidR="006C093B" w14:paraId="76BD6CAC" w14:textId="77777777" w:rsidTr="006F6E22">
        <w:trPr>
          <w:jc w:val="center"/>
        </w:trPr>
        <w:tc>
          <w:tcPr>
            <w:tcW w:w="9571" w:type="dxa"/>
            <w:gridSpan w:val="6"/>
            <w:vAlign w:val="center"/>
          </w:tcPr>
          <w:p w14:paraId="30CA7257" w14:textId="77777777" w:rsidR="006C093B" w:rsidRPr="00341CF2" w:rsidRDefault="006C093B" w:rsidP="006C093B">
            <w:pPr>
              <w:tabs>
                <w:tab w:val="center" w:pos="4201"/>
                <w:tab w:val="right" w:leader="dot" w:pos="9298"/>
              </w:tabs>
              <w:autoSpaceDE w:val="0"/>
              <w:autoSpaceDN w:val="0"/>
              <w:spacing w:after="0"/>
              <w:rPr>
                <w:rFonts w:ascii="宋体" w:eastAsia="宋体" w:hAnsi="宋体" w:cs="Times New Roman" w:hint="eastAsia"/>
                <w:b/>
                <w:bCs/>
                <w:color w:val="000000" w:themeColor="text1"/>
                <w:sz w:val="21"/>
                <w:szCs w:val="21"/>
              </w:rPr>
            </w:pPr>
            <w:r w:rsidRPr="00341CF2">
              <w:rPr>
                <w:rFonts w:ascii="宋体" w:eastAsia="宋体" w:hAnsi="宋体" w:cs="宋体" w:hint="eastAsia"/>
                <w:b/>
                <w:bCs/>
                <w:color w:val="000000" w:themeColor="text1"/>
                <w:sz w:val="21"/>
                <w:szCs w:val="21"/>
              </w:rPr>
              <w:t>主要条款：</w:t>
            </w:r>
          </w:p>
          <w:p w14:paraId="619138EA" w14:textId="006923E4" w:rsidR="006C093B" w:rsidRDefault="006C093B" w:rsidP="006C093B">
            <w:pPr>
              <w:pStyle w:val="af"/>
              <w:wordWrap w:val="0"/>
              <w:autoSpaceDE/>
              <w:autoSpaceDN/>
              <w:jc w:val="both"/>
              <w:rPr>
                <w:rFonts w:hAnsi="宋体" w:cs="宋体" w:hint="eastAsia"/>
                <w:color w:val="000000" w:themeColor="text1"/>
                <w:szCs w:val="21"/>
              </w:rPr>
            </w:pPr>
            <w:r w:rsidRPr="00341CF2">
              <w:rPr>
                <w:rFonts w:hAnsi="宋体" w:cs="宋体" w:hint="eastAsia"/>
                <w:color w:val="000000" w:themeColor="text1"/>
                <w:szCs w:val="21"/>
              </w:rPr>
              <w:t>本标准的章节由：范围、规范性引用文件、术语和定义、智慧</w:t>
            </w:r>
            <w:proofErr w:type="gramStart"/>
            <w:r>
              <w:rPr>
                <w:rFonts w:hAnsi="宋体" w:cs="宋体" w:hint="eastAsia"/>
                <w:color w:val="000000" w:themeColor="text1"/>
                <w:szCs w:val="21"/>
              </w:rPr>
              <w:t>文旅</w:t>
            </w:r>
            <w:r w:rsidRPr="00341CF2">
              <w:rPr>
                <w:rFonts w:hAnsi="宋体" w:cs="宋体" w:hint="eastAsia"/>
                <w:color w:val="000000" w:themeColor="text1"/>
                <w:szCs w:val="21"/>
              </w:rPr>
              <w:t>系统</w:t>
            </w:r>
            <w:proofErr w:type="gramEnd"/>
            <w:r w:rsidRPr="00341CF2">
              <w:rPr>
                <w:rFonts w:hAnsi="宋体" w:cs="宋体" w:hint="eastAsia"/>
                <w:color w:val="000000" w:themeColor="text1"/>
                <w:szCs w:val="21"/>
              </w:rPr>
              <w:t>架构、系统功能模块要求、智慧</w:t>
            </w:r>
            <w:proofErr w:type="gramStart"/>
            <w:r>
              <w:rPr>
                <w:rFonts w:hAnsi="宋体" w:cs="宋体" w:hint="eastAsia"/>
                <w:color w:val="000000" w:themeColor="text1"/>
                <w:szCs w:val="21"/>
              </w:rPr>
              <w:t>文旅</w:t>
            </w:r>
            <w:r w:rsidRPr="00341CF2">
              <w:rPr>
                <w:rFonts w:hAnsi="宋体" w:cs="宋体" w:hint="eastAsia"/>
                <w:color w:val="000000" w:themeColor="text1"/>
                <w:szCs w:val="21"/>
              </w:rPr>
              <w:t>系统</w:t>
            </w:r>
            <w:proofErr w:type="gramEnd"/>
            <w:r w:rsidRPr="00341CF2">
              <w:rPr>
                <w:rFonts w:hAnsi="宋体" w:cs="宋体" w:hint="eastAsia"/>
                <w:color w:val="000000" w:themeColor="text1"/>
                <w:szCs w:val="21"/>
              </w:rPr>
              <w:t>应用要求、系统管理与安全。其中“</w:t>
            </w:r>
            <w:r>
              <w:rPr>
                <w:rFonts w:hAnsi="宋体" w:cs="宋体" w:hint="eastAsia"/>
                <w:color w:val="000000" w:themeColor="text1"/>
                <w:szCs w:val="21"/>
              </w:rPr>
              <w:t>智慧文旅平台</w:t>
            </w:r>
            <w:r w:rsidRPr="00341CF2">
              <w:rPr>
                <w:rFonts w:hAnsi="宋体" w:cs="宋体" w:hint="eastAsia"/>
                <w:color w:val="000000" w:themeColor="text1"/>
                <w:szCs w:val="21"/>
              </w:rPr>
              <w:t>要求”和“系统功能模块要求”是本标准的主要技术内容。</w:t>
            </w:r>
          </w:p>
          <w:p w14:paraId="1B414386" w14:textId="77777777" w:rsidR="006C093B" w:rsidRPr="004B1313" w:rsidRDefault="006C093B" w:rsidP="006C093B">
            <w:pPr>
              <w:tabs>
                <w:tab w:val="center" w:pos="4201"/>
                <w:tab w:val="right" w:leader="dot" w:pos="9298"/>
              </w:tabs>
              <w:autoSpaceDE w:val="0"/>
              <w:autoSpaceDN w:val="0"/>
              <w:spacing w:after="0"/>
              <w:rPr>
                <w:rFonts w:ascii="宋体" w:eastAsia="宋体" w:hAnsi="宋体" w:cs="宋体" w:hint="eastAsia"/>
                <w:b/>
                <w:bCs/>
                <w:color w:val="000000" w:themeColor="text1"/>
                <w:sz w:val="21"/>
                <w:szCs w:val="21"/>
              </w:rPr>
            </w:pPr>
            <w:r w:rsidRPr="004B1313">
              <w:rPr>
                <w:rFonts w:ascii="宋体" w:eastAsia="宋体" w:hAnsi="宋体" w:cs="宋体" w:hint="eastAsia"/>
                <w:b/>
                <w:bCs/>
                <w:color w:val="000000" w:themeColor="text1"/>
                <w:sz w:val="21"/>
                <w:szCs w:val="21"/>
              </w:rPr>
              <w:t>主要技术指标、参数：</w:t>
            </w:r>
          </w:p>
          <w:p w14:paraId="31C82F57" w14:textId="6373DAEE" w:rsidR="006C093B" w:rsidRPr="00F36397" w:rsidRDefault="006C093B" w:rsidP="006C093B">
            <w:pPr>
              <w:pStyle w:val="af"/>
              <w:wordWrap w:val="0"/>
              <w:autoSpaceDE/>
              <w:autoSpaceDN/>
              <w:jc w:val="both"/>
              <w:rPr>
                <w:rFonts w:hAnsi="宋体" w:cs="宋体" w:hint="eastAsia"/>
                <w:color w:val="000000" w:themeColor="text1"/>
                <w:szCs w:val="21"/>
              </w:rPr>
            </w:pPr>
            <w:r w:rsidRPr="00F36397">
              <w:rPr>
                <w:rFonts w:hAnsi="宋体" w:cs="宋体" w:hint="eastAsia"/>
                <w:color w:val="000000" w:themeColor="text1"/>
                <w:szCs w:val="21"/>
              </w:rPr>
              <w:t>本标准规定，智慧</w:t>
            </w:r>
            <w:proofErr w:type="gramStart"/>
            <w:r>
              <w:rPr>
                <w:rFonts w:hAnsi="宋体" w:cs="宋体" w:hint="eastAsia"/>
                <w:color w:val="000000" w:themeColor="text1"/>
                <w:szCs w:val="21"/>
              </w:rPr>
              <w:t>文旅技术</w:t>
            </w:r>
            <w:proofErr w:type="gramEnd"/>
            <w:r w:rsidR="00C53F86">
              <w:rPr>
                <w:rFonts w:hAnsi="宋体" w:cs="宋体" w:hint="eastAsia"/>
                <w:color w:val="000000" w:themeColor="text1"/>
                <w:szCs w:val="21"/>
              </w:rPr>
              <w:t>平台</w:t>
            </w:r>
            <w:r>
              <w:rPr>
                <w:rFonts w:hAnsi="宋体" w:cs="宋体" w:hint="eastAsia"/>
                <w:color w:val="000000" w:themeColor="text1"/>
                <w:szCs w:val="21"/>
              </w:rPr>
              <w:t>、智慧</w:t>
            </w:r>
            <w:proofErr w:type="gramStart"/>
            <w:r>
              <w:rPr>
                <w:rFonts w:hAnsi="宋体" w:cs="宋体" w:hint="eastAsia"/>
                <w:color w:val="000000" w:themeColor="text1"/>
                <w:szCs w:val="21"/>
              </w:rPr>
              <w:t>文旅数据</w:t>
            </w:r>
            <w:proofErr w:type="gramEnd"/>
            <w:r>
              <w:rPr>
                <w:rFonts w:hAnsi="宋体" w:cs="宋体" w:hint="eastAsia"/>
                <w:color w:val="000000" w:themeColor="text1"/>
                <w:szCs w:val="21"/>
              </w:rPr>
              <w:t>传输部署</w:t>
            </w:r>
            <w:r w:rsidRPr="00F36397">
              <w:rPr>
                <w:rFonts w:hAnsi="宋体" w:cs="宋体" w:hint="eastAsia"/>
                <w:color w:val="000000" w:themeColor="text1"/>
                <w:szCs w:val="21"/>
              </w:rPr>
              <w:t>的IPv</w:t>
            </w:r>
            <w:r w:rsidRPr="00F36397">
              <w:rPr>
                <w:rFonts w:hAnsi="宋体" w:cs="宋体"/>
                <w:color w:val="000000" w:themeColor="text1"/>
                <w:szCs w:val="21"/>
              </w:rPr>
              <w:t>6</w:t>
            </w:r>
            <w:r w:rsidRPr="00F36397">
              <w:rPr>
                <w:rFonts w:hAnsi="宋体" w:cs="宋体" w:hint="eastAsia"/>
                <w:color w:val="000000" w:themeColor="text1"/>
                <w:szCs w:val="21"/>
              </w:rPr>
              <w:t>要求如下：</w:t>
            </w:r>
          </w:p>
          <w:p w14:paraId="42B2384F" w14:textId="77777777"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4.1　技术要求</w:t>
            </w:r>
          </w:p>
          <w:p w14:paraId="4A2714AD" w14:textId="77777777"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4.1.1　数据采集和处理：要求采集的数据必须是可靠、准确、完整的，同时还需要对采集到的数据进行处理和分析，确保数据的可靠性和有效性。</w:t>
            </w:r>
          </w:p>
          <w:p w14:paraId="585112DA" w14:textId="77777777"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4.1.2　数据安全：要求数据的安全性得到保障，防止数据泄露、篡改等情况的发生。</w:t>
            </w:r>
          </w:p>
          <w:p w14:paraId="394D2583" w14:textId="77777777"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4.1.3　数据质量控制：要求对采集到的数据进行质量控制，确保数据质量符合要求。</w:t>
            </w:r>
          </w:p>
          <w:p w14:paraId="5FA4F724" w14:textId="77777777"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4.1.4　数据一致性：要求采集到的数据在不同的系统和应用程序之间保持一致，避免数据出现不一致的情况。</w:t>
            </w:r>
          </w:p>
          <w:p w14:paraId="7729C062" w14:textId="56AA1723" w:rsidR="006C093B" w:rsidRDefault="006C093B" w:rsidP="006C093B">
            <w:pPr>
              <w:pStyle w:val="af"/>
              <w:wordWrap w:val="0"/>
              <w:jc w:val="both"/>
              <w:rPr>
                <w:rFonts w:hAnsi="宋体" w:cs="宋体"/>
                <w:color w:val="000000" w:themeColor="text1"/>
                <w:szCs w:val="21"/>
              </w:rPr>
            </w:pPr>
            <w:r w:rsidRPr="008A4E90">
              <w:rPr>
                <w:rFonts w:hAnsi="宋体" w:cs="宋体" w:hint="eastAsia"/>
                <w:color w:val="000000" w:themeColor="text1"/>
                <w:szCs w:val="21"/>
              </w:rPr>
              <w:t>4.1.5　数据管理和共享：要求对采集到的数据进行管理和共享，确保数据能够被有效地利用和共享。</w:t>
            </w:r>
          </w:p>
          <w:p w14:paraId="3400D4E5" w14:textId="77777777" w:rsidR="006C093B" w:rsidRDefault="006C093B" w:rsidP="006C093B">
            <w:pPr>
              <w:pStyle w:val="af"/>
              <w:wordWrap w:val="0"/>
              <w:jc w:val="both"/>
              <w:rPr>
                <w:rFonts w:hAnsi="宋体" w:cs="宋体"/>
                <w:color w:val="000000" w:themeColor="text1"/>
                <w:szCs w:val="21"/>
              </w:rPr>
            </w:pPr>
          </w:p>
          <w:p w14:paraId="38B8B132" w14:textId="17C67846" w:rsidR="006C093B" w:rsidRPr="008A4E90" w:rsidRDefault="006C093B" w:rsidP="006C093B">
            <w:pPr>
              <w:pStyle w:val="af"/>
              <w:wordWrap w:val="0"/>
              <w:jc w:val="both"/>
              <w:rPr>
                <w:rFonts w:hAnsi="宋体" w:cs="宋体" w:hint="eastAsia"/>
                <w:color w:val="000000" w:themeColor="text1"/>
                <w:szCs w:val="21"/>
              </w:rPr>
            </w:pPr>
            <w:r w:rsidRPr="008A4E90">
              <w:rPr>
                <w:rFonts w:hAnsi="宋体" w:cs="宋体" w:hint="eastAsia"/>
                <w:color w:val="000000" w:themeColor="text1"/>
                <w:szCs w:val="21"/>
              </w:rPr>
              <w:t>4.2.1　IPV6包头格式要求</w:t>
            </w:r>
          </w:p>
          <w:p w14:paraId="20728BAE" w14:textId="580AC227"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版本：4位，0110表明版本6。</w:t>
            </w:r>
          </w:p>
          <w:p w14:paraId="656554BF" w14:textId="0BB3B557"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流量类别：8位，类似于IPV4中的TOS字段。</w:t>
            </w:r>
          </w:p>
          <w:p w14:paraId="7B71089D" w14:textId="08406F19"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流标签：20位，设置目的是允许为特定的业务流打上标签，可以提供更精细的服务类别区分的颗粒，在平衡业务流量通过多条路径时可以确保属于同一流的数据包能够总是转发到相同路径上，在发起一个数据包时，加上合适的流标签字段，路由器能够识别一条流，而不必</w:t>
            </w:r>
            <w:proofErr w:type="gramStart"/>
            <w:r w:rsidRPr="008A4E90">
              <w:rPr>
                <w:rFonts w:hAnsi="宋体" w:cs="宋体" w:hint="eastAsia"/>
                <w:color w:val="000000" w:themeColor="text1"/>
                <w:szCs w:val="21"/>
              </w:rPr>
              <w:t>一</w:t>
            </w:r>
            <w:proofErr w:type="gramEnd"/>
            <w:r w:rsidRPr="008A4E90">
              <w:rPr>
                <w:rFonts w:hAnsi="宋体" w:cs="宋体" w:hint="eastAsia"/>
                <w:color w:val="000000" w:themeColor="text1"/>
                <w:szCs w:val="21"/>
              </w:rPr>
              <w:t xml:space="preserve"> </w:t>
            </w:r>
            <w:proofErr w:type="gramStart"/>
            <w:r w:rsidRPr="008A4E90">
              <w:rPr>
                <w:rFonts w:hAnsi="宋体" w:cs="宋体" w:hint="eastAsia"/>
                <w:color w:val="000000" w:themeColor="text1"/>
                <w:szCs w:val="21"/>
              </w:rPr>
              <w:t>一</w:t>
            </w:r>
            <w:proofErr w:type="gramEnd"/>
            <w:r w:rsidRPr="008A4E90">
              <w:rPr>
                <w:rFonts w:hAnsi="宋体" w:cs="宋体" w:hint="eastAsia"/>
                <w:color w:val="000000" w:themeColor="text1"/>
                <w:szCs w:val="21"/>
              </w:rPr>
              <w:t>查找数据包头部。</w:t>
            </w:r>
          </w:p>
          <w:p w14:paraId="3A645816" w14:textId="2AF2D72B"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有效载荷长度：用来封装数据包所封装的有效载荷长度，IPV6数据包头部长度为40字节</w:t>
            </w:r>
          </w:p>
          <w:p w14:paraId="369410F2" w14:textId="4135523B"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下一报头：指出IPV6数据包头部后面的报头。</w:t>
            </w:r>
          </w:p>
          <w:p w14:paraId="695ADC4B" w14:textId="35A07175"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proofErr w:type="gramStart"/>
            <w:r w:rsidRPr="008A4E90">
              <w:rPr>
                <w:rFonts w:hAnsi="宋体" w:cs="宋体" w:hint="eastAsia"/>
                <w:color w:val="000000" w:themeColor="text1"/>
                <w:szCs w:val="21"/>
              </w:rPr>
              <w:t>跳数限制</w:t>
            </w:r>
            <w:proofErr w:type="gramEnd"/>
            <w:r w:rsidRPr="008A4E90">
              <w:rPr>
                <w:rFonts w:hAnsi="宋体" w:cs="宋体" w:hint="eastAsia"/>
                <w:color w:val="000000" w:themeColor="text1"/>
                <w:szCs w:val="21"/>
              </w:rPr>
              <w:t>：类似于IPV4中的TTL字段，衡量一个数据包到达目的地的路径中所能跨越的最大</w:t>
            </w:r>
            <w:proofErr w:type="gramStart"/>
            <w:r w:rsidRPr="008A4E90">
              <w:rPr>
                <w:rFonts w:hAnsi="宋体" w:cs="宋体" w:hint="eastAsia"/>
                <w:color w:val="000000" w:themeColor="text1"/>
                <w:szCs w:val="21"/>
              </w:rPr>
              <w:t>路由器跳数的</w:t>
            </w:r>
            <w:proofErr w:type="gramEnd"/>
            <w:r w:rsidRPr="008A4E90">
              <w:rPr>
                <w:rFonts w:hAnsi="宋体" w:cs="宋体" w:hint="eastAsia"/>
                <w:color w:val="000000" w:themeColor="text1"/>
                <w:szCs w:val="21"/>
              </w:rPr>
              <w:t>工具。</w:t>
            </w:r>
          </w:p>
          <w:p w14:paraId="5DC214EB" w14:textId="672D6F0B" w:rsidR="006C093B" w:rsidRPr="008A4E90" w:rsidRDefault="006C093B" w:rsidP="006C093B">
            <w:pPr>
              <w:pStyle w:val="af"/>
              <w:numPr>
                <w:ilvl w:val="0"/>
                <w:numId w:val="1"/>
              </w:numPr>
              <w:wordWrap w:val="0"/>
              <w:ind w:left="0" w:firstLineChars="0" w:firstLine="442"/>
              <w:jc w:val="both"/>
              <w:rPr>
                <w:rFonts w:hAnsi="宋体" w:cs="宋体" w:hint="eastAsia"/>
                <w:color w:val="000000" w:themeColor="text1"/>
                <w:szCs w:val="21"/>
              </w:rPr>
            </w:pPr>
            <w:r w:rsidRPr="008A4E90">
              <w:rPr>
                <w:rFonts w:hAnsi="宋体" w:cs="宋体" w:hint="eastAsia"/>
                <w:color w:val="000000" w:themeColor="text1"/>
                <w:szCs w:val="21"/>
              </w:rPr>
              <w:t>源地址和目的地址：128位长度。</w:t>
            </w:r>
          </w:p>
          <w:p w14:paraId="3A99C661" w14:textId="5509D528" w:rsidR="006C093B" w:rsidRDefault="006C093B" w:rsidP="006C093B">
            <w:pPr>
              <w:pStyle w:val="af"/>
              <w:numPr>
                <w:ilvl w:val="0"/>
                <w:numId w:val="1"/>
              </w:numPr>
              <w:wordWrap w:val="0"/>
              <w:ind w:left="0" w:firstLineChars="0" w:firstLine="442"/>
              <w:jc w:val="both"/>
              <w:rPr>
                <w:rFonts w:hAnsi="宋体" w:cs="宋体"/>
                <w:color w:val="000000" w:themeColor="text1"/>
                <w:szCs w:val="21"/>
              </w:rPr>
            </w:pPr>
            <w:r w:rsidRPr="008A4E90">
              <w:rPr>
                <w:rFonts w:hAnsi="宋体" w:cs="宋体" w:hint="eastAsia"/>
                <w:color w:val="000000" w:themeColor="text1"/>
                <w:szCs w:val="21"/>
              </w:rPr>
              <w:t>可选项：包含拓展报头，提供可选功能，如：分段、源路由选择或认证、目的地可选项、TCP/IP协议等，在下一个报文字段中是否有扩展报头。</w:t>
            </w:r>
          </w:p>
          <w:p w14:paraId="7D467B96" w14:textId="77777777" w:rsidR="006C093B" w:rsidRPr="00470873" w:rsidRDefault="006C093B" w:rsidP="006C093B">
            <w:pPr>
              <w:pStyle w:val="af"/>
              <w:wordWrap w:val="0"/>
              <w:jc w:val="both"/>
              <w:rPr>
                <w:rFonts w:hint="eastAsia"/>
                <w:color w:val="000000" w:themeColor="text1"/>
              </w:rPr>
            </w:pPr>
            <w:r w:rsidRPr="00470873">
              <w:rPr>
                <w:rFonts w:hint="eastAsia"/>
                <w:color w:val="000000" w:themeColor="text1"/>
              </w:rPr>
              <w:t xml:space="preserve">4.3.4　数据安全要求 </w:t>
            </w:r>
          </w:p>
          <w:p w14:paraId="14001431" w14:textId="46EE4E4D" w:rsidR="006C093B" w:rsidRPr="00470873" w:rsidRDefault="006C093B" w:rsidP="006C093B">
            <w:pPr>
              <w:pStyle w:val="af"/>
              <w:numPr>
                <w:ilvl w:val="0"/>
                <w:numId w:val="3"/>
              </w:numPr>
              <w:wordWrap w:val="0"/>
              <w:ind w:left="0" w:firstLineChars="0" w:firstLine="442"/>
              <w:jc w:val="both"/>
              <w:rPr>
                <w:rFonts w:hint="eastAsia"/>
                <w:color w:val="000000" w:themeColor="text1"/>
              </w:rPr>
            </w:pPr>
            <w:r w:rsidRPr="00470873">
              <w:rPr>
                <w:rFonts w:hint="eastAsia"/>
                <w:color w:val="000000" w:themeColor="text1"/>
              </w:rPr>
              <w:t>数据存储应采用加密存储方式；对于服务器与数据库通信过程，应采用IPv6协议加密数据通信，避免数据在存储和传输中泄露。</w:t>
            </w:r>
          </w:p>
          <w:p w14:paraId="62136873" w14:textId="45679215" w:rsidR="006C093B" w:rsidRPr="00470873" w:rsidRDefault="006C093B" w:rsidP="006C093B">
            <w:pPr>
              <w:pStyle w:val="af"/>
              <w:numPr>
                <w:ilvl w:val="0"/>
                <w:numId w:val="3"/>
              </w:numPr>
              <w:wordWrap w:val="0"/>
              <w:ind w:left="0" w:firstLineChars="0" w:firstLine="442"/>
              <w:jc w:val="both"/>
              <w:rPr>
                <w:rFonts w:hint="eastAsia"/>
                <w:color w:val="000000" w:themeColor="text1"/>
              </w:rPr>
            </w:pPr>
            <w:r w:rsidRPr="00470873">
              <w:rPr>
                <w:rFonts w:hint="eastAsia"/>
                <w:color w:val="000000" w:themeColor="text1"/>
              </w:rPr>
              <w:t>应制</w:t>
            </w:r>
            <w:proofErr w:type="gramStart"/>
            <w:r w:rsidRPr="00470873">
              <w:rPr>
                <w:rFonts w:hint="eastAsia"/>
                <w:color w:val="000000" w:themeColor="text1"/>
              </w:rPr>
              <w:t>定数据</w:t>
            </w:r>
            <w:proofErr w:type="gramEnd"/>
            <w:r w:rsidRPr="00470873">
              <w:rPr>
                <w:rFonts w:hint="eastAsia"/>
                <w:color w:val="000000" w:themeColor="text1"/>
              </w:rPr>
              <w:t>备份机制，选择备份策略要统筹考虑需备份的总数据量、线路带宽、数据吞吐量、时间窗口以及对恢复时间的要求等，根据不同业务对数据备份的时间窗口和灾难恢复的要求，选择不同的备份方式，亦可将几种备份方式组合应用，包括定期完整备份、增量备份和</w:t>
            </w:r>
            <w:proofErr w:type="gramStart"/>
            <w:r w:rsidRPr="00470873">
              <w:rPr>
                <w:rFonts w:hint="eastAsia"/>
                <w:color w:val="000000" w:themeColor="text1"/>
              </w:rPr>
              <w:t>容灾</w:t>
            </w:r>
            <w:proofErr w:type="gramEnd"/>
            <w:r w:rsidRPr="00470873">
              <w:rPr>
                <w:rFonts w:hint="eastAsia"/>
                <w:color w:val="000000" w:themeColor="text1"/>
              </w:rPr>
              <w:t>备份等。</w:t>
            </w:r>
          </w:p>
          <w:p w14:paraId="28488CE2" w14:textId="0A90C19F" w:rsidR="006C093B" w:rsidRPr="00E72872" w:rsidRDefault="006C093B" w:rsidP="006C093B">
            <w:pPr>
              <w:pStyle w:val="af"/>
              <w:numPr>
                <w:ilvl w:val="0"/>
                <w:numId w:val="3"/>
              </w:numPr>
              <w:wordWrap w:val="0"/>
              <w:autoSpaceDE/>
              <w:autoSpaceDN/>
              <w:ind w:left="0" w:firstLineChars="0" w:firstLine="442"/>
              <w:jc w:val="both"/>
              <w:rPr>
                <w:color w:val="000000" w:themeColor="text1"/>
              </w:rPr>
            </w:pPr>
            <w:r w:rsidRPr="00470873">
              <w:rPr>
                <w:rFonts w:hint="eastAsia"/>
                <w:color w:val="000000" w:themeColor="text1"/>
              </w:rPr>
              <w:t>应能对数据进行有效地识别、分类、分级和外发管理。通过数据审计和数据溯源等方式，记录数据</w:t>
            </w:r>
            <w:proofErr w:type="gramStart"/>
            <w:r w:rsidRPr="00470873">
              <w:rPr>
                <w:rFonts w:hint="eastAsia"/>
                <w:color w:val="000000" w:themeColor="text1"/>
              </w:rPr>
              <w:t>流转全</w:t>
            </w:r>
            <w:proofErr w:type="gramEnd"/>
            <w:r w:rsidRPr="00470873">
              <w:rPr>
                <w:rFonts w:hint="eastAsia"/>
                <w:color w:val="000000" w:themeColor="text1"/>
              </w:rPr>
              <w:t>过程。</w:t>
            </w:r>
          </w:p>
          <w:p w14:paraId="02517406" w14:textId="77777777" w:rsidR="006C093B" w:rsidRPr="000E6C5B" w:rsidRDefault="006C093B" w:rsidP="006C093B">
            <w:pPr>
              <w:tabs>
                <w:tab w:val="center" w:pos="4201"/>
                <w:tab w:val="right" w:leader="dot" w:pos="9298"/>
              </w:tabs>
              <w:autoSpaceDE w:val="0"/>
              <w:autoSpaceDN w:val="0"/>
              <w:spacing w:after="0"/>
              <w:rPr>
                <w:rFonts w:ascii="宋体" w:eastAsia="宋体" w:hAnsi="宋体" w:cs="Times New Roman" w:hint="eastAsia"/>
                <w:b/>
                <w:bCs/>
                <w:color w:val="000000" w:themeColor="text1"/>
                <w:sz w:val="21"/>
                <w:szCs w:val="21"/>
              </w:rPr>
            </w:pPr>
            <w:r w:rsidRPr="000E6C5B">
              <w:rPr>
                <w:rFonts w:ascii="宋体" w:eastAsia="宋体" w:hAnsi="宋体" w:cs="宋体" w:hint="eastAsia"/>
                <w:b/>
                <w:bCs/>
                <w:color w:val="000000" w:themeColor="text1"/>
                <w:sz w:val="21"/>
                <w:szCs w:val="21"/>
              </w:rPr>
              <w:t>试验验证的论述：</w:t>
            </w:r>
          </w:p>
          <w:p w14:paraId="09DCCD52" w14:textId="77777777" w:rsidR="006C093B" w:rsidRPr="004E7AFC" w:rsidRDefault="006C093B" w:rsidP="006C093B">
            <w:pPr>
              <w:pStyle w:val="af"/>
              <w:wordWrap w:val="0"/>
              <w:autoSpaceDE/>
              <w:autoSpaceDN/>
              <w:jc w:val="both"/>
              <w:rPr>
                <w:rFonts w:hAnsi="宋体" w:cs="宋体" w:hint="eastAsia"/>
                <w:color w:val="FF0000"/>
                <w:szCs w:val="21"/>
              </w:rPr>
            </w:pPr>
            <w:r w:rsidRPr="000E6C5B">
              <w:rPr>
                <w:rFonts w:hAnsi="宋体" w:cs="宋体" w:hint="eastAsia"/>
                <w:color w:val="000000" w:themeColor="text1"/>
                <w:szCs w:val="21"/>
              </w:rPr>
              <w:t>为确保该标准的权威性，其内容原则上选取已正式发布的国家标准中的术语和定义。在标准制定过程中，标准起草组广泛</w:t>
            </w:r>
            <w:r>
              <w:rPr>
                <w:rFonts w:hAnsi="宋体" w:cs="宋体" w:hint="eastAsia"/>
                <w:color w:val="000000" w:themeColor="text1"/>
                <w:szCs w:val="21"/>
              </w:rPr>
              <w:t>调研、</w:t>
            </w:r>
            <w:r w:rsidRPr="000E6C5B">
              <w:rPr>
                <w:rFonts w:hAnsi="宋体" w:cs="宋体" w:hint="eastAsia"/>
                <w:color w:val="000000" w:themeColor="text1"/>
                <w:szCs w:val="21"/>
              </w:rPr>
              <w:t>征求养老服务机构、业界专家等相关方意见。</w:t>
            </w:r>
          </w:p>
        </w:tc>
      </w:tr>
      <w:tr w:rsidR="006C093B" w14:paraId="61DFC69E" w14:textId="77777777" w:rsidTr="006F6E22">
        <w:trPr>
          <w:jc w:val="center"/>
        </w:trPr>
        <w:tc>
          <w:tcPr>
            <w:tcW w:w="9571" w:type="dxa"/>
            <w:gridSpan w:val="6"/>
            <w:vAlign w:val="center"/>
          </w:tcPr>
          <w:p w14:paraId="5BFF07EC"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1" w:name="_Toc464905613"/>
            <w:bookmarkStart w:id="2" w:name="_Toc465074266"/>
            <w:bookmarkStart w:id="3" w:name="_Toc464902852"/>
            <w:bookmarkStart w:id="4" w:name="_Toc464905809"/>
            <w:bookmarkStart w:id="5" w:name="_Toc464905557"/>
            <w:r>
              <w:rPr>
                <w:rFonts w:ascii="宋体" w:eastAsia="宋体" w:hAnsi="宋体" w:cs="宋体"/>
                <w:sz w:val="21"/>
                <w:szCs w:val="21"/>
              </w:rPr>
              <w:t>5</w:t>
            </w:r>
            <w:r>
              <w:rPr>
                <w:rFonts w:ascii="宋体" w:eastAsia="宋体" w:hAnsi="宋体" w:cs="宋体" w:hint="eastAsia"/>
                <w:sz w:val="21"/>
                <w:szCs w:val="21"/>
              </w:rPr>
              <w:t>、标准中如果涉及专利，应有明确的知识产权说明</w:t>
            </w:r>
            <w:bookmarkEnd w:id="1"/>
            <w:bookmarkEnd w:id="2"/>
            <w:bookmarkEnd w:id="3"/>
            <w:bookmarkEnd w:id="4"/>
            <w:bookmarkEnd w:id="5"/>
          </w:p>
        </w:tc>
      </w:tr>
      <w:tr w:rsidR="006C093B" w14:paraId="2EB22F64" w14:textId="77777777" w:rsidTr="006F6E22">
        <w:trPr>
          <w:jc w:val="center"/>
        </w:trPr>
        <w:tc>
          <w:tcPr>
            <w:tcW w:w="9571" w:type="dxa"/>
            <w:gridSpan w:val="6"/>
            <w:vAlign w:val="center"/>
          </w:tcPr>
          <w:p w14:paraId="60D38C17" w14:textId="77777777" w:rsidR="006C093B" w:rsidRDefault="006C093B" w:rsidP="006C093B">
            <w:pPr>
              <w:tabs>
                <w:tab w:val="center" w:pos="4201"/>
                <w:tab w:val="right" w:leader="dot" w:pos="9298"/>
              </w:tabs>
              <w:autoSpaceDE w:val="0"/>
              <w:autoSpaceDN w:val="0"/>
              <w:spacing w:after="0"/>
              <w:ind w:firstLineChars="100" w:firstLine="210"/>
              <w:rPr>
                <w:rFonts w:ascii="宋体" w:eastAsia="宋体" w:hAnsi="宋体" w:cs="Times New Roman" w:hint="eastAsia"/>
                <w:sz w:val="21"/>
                <w:szCs w:val="21"/>
              </w:rPr>
            </w:pPr>
            <w:r>
              <w:rPr>
                <w:rFonts w:ascii="宋体" w:eastAsia="宋体" w:hAnsi="宋体" w:cs="Times New Roman" w:hint="eastAsia"/>
                <w:sz w:val="21"/>
                <w:szCs w:val="21"/>
              </w:rPr>
              <w:t>本标准不涉及专利。</w:t>
            </w:r>
          </w:p>
        </w:tc>
      </w:tr>
      <w:tr w:rsidR="006C093B" w14:paraId="5918BBA2" w14:textId="77777777" w:rsidTr="006F6E22">
        <w:trPr>
          <w:jc w:val="center"/>
        </w:trPr>
        <w:tc>
          <w:tcPr>
            <w:tcW w:w="9571" w:type="dxa"/>
            <w:gridSpan w:val="6"/>
            <w:vAlign w:val="center"/>
          </w:tcPr>
          <w:p w14:paraId="04D0CB6D"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6" w:name="_Toc464905558"/>
            <w:bookmarkStart w:id="7" w:name="_Toc464902853"/>
            <w:bookmarkStart w:id="8" w:name="_Toc465074267"/>
            <w:bookmarkStart w:id="9" w:name="_Toc464905810"/>
            <w:bookmarkStart w:id="10" w:name="_Toc464905614"/>
            <w:r>
              <w:rPr>
                <w:rFonts w:ascii="宋体" w:eastAsia="宋体" w:hAnsi="宋体" w:cs="宋体"/>
                <w:sz w:val="21"/>
                <w:szCs w:val="21"/>
              </w:rPr>
              <w:t>6</w:t>
            </w:r>
            <w:r>
              <w:rPr>
                <w:rFonts w:ascii="宋体" w:eastAsia="宋体" w:hAnsi="宋体" w:cs="宋体" w:hint="eastAsia"/>
                <w:sz w:val="21"/>
                <w:szCs w:val="21"/>
              </w:rPr>
              <w:t>、采用国际标准或国外先进标准的，说明采标程度，以及国内外同类标准水平的对比情况</w:t>
            </w:r>
            <w:bookmarkEnd w:id="6"/>
            <w:bookmarkEnd w:id="7"/>
            <w:bookmarkEnd w:id="8"/>
            <w:bookmarkEnd w:id="9"/>
            <w:bookmarkEnd w:id="10"/>
          </w:p>
        </w:tc>
      </w:tr>
      <w:tr w:rsidR="006C093B" w14:paraId="398400F1" w14:textId="77777777" w:rsidTr="006F6E22">
        <w:trPr>
          <w:jc w:val="center"/>
        </w:trPr>
        <w:tc>
          <w:tcPr>
            <w:tcW w:w="9571" w:type="dxa"/>
            <w:gridSpan w:val="6"/>
            <w:vAlign w:val="center"/>
          </w:tcPr>
          <w:p w14:paraId="24E3280B"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Times New Roman" w:hint="eastAsia"/>
                <w:sz w:val="21"/>
                <w:szCs w:val="21"/>
              </w:rPr>
              <w:t>无</w:t>
            </w:r>
          </w:p>
        </w:tc>
      </w:tr>
      <w:tr w:rsidR="006C093B" w14:paraId="5DA3A3F4" w14:textId="77777777" w:rsidTr="006F6E22">
        <w:trPr>
          <w:jc w:val="center"/>
        </w:trPr>
        <w:tc>
          <w:tcPr>
            <w:tcW w:w="9571" w:type="dxa"/>
            <w:gridSpan w:val="6"/>
            <w:vAlign w:val="center"/>
          </w:tcPr>
          <w:p w14:paraId="1824FA51"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11" w:name="_Toc464902854"/>
            <w:bookmarkStart w:id="12" w:name="_Toc464905559"/>
            <w:bookmarkStart w:id="13" w:name="_Toc464905615"/>
            <w:bookmarkStart w:id="14" w:name="_Toc464905811"/>
            <w:bookmarkStart w:id="15" w:name="_Toc465074268"/>
            <w:r>
              <w:rPr>
                <w:rFonts w:ascii="宋体" w:eastAsia="宋体" w:hAnsi="宋体" w:cs="宋体"/>
                <w:sz w:val="21"/>
                <w:szCs w:val="21"/>
              </w:rPr>
              <w:lastRenderedPageBreak/>
              <w:t>7</w:t>
            </w:r>
            <w:r>
              <w:rPr>
                <w:rFonts w:ascii="宋体" w:eastAsia="宋体" w:hAnsi="宋体" w:cs="宋体" w:hint="eastAsia"/>
                <w:sz w:val="21"/>
                <w:szCs w:val="21"/>
              </w:rPr>
              <w:t>、重大分歧意见的处理经过和依据</w:t>
            </w:r>
            <w:bookmarkEnd w:id="11"/>
            <w:bookmarkEnd w:id="12"/>
            <w:bookmarkEnd w:id="13"/>
            <w:bookmarkEnd w:id="14"/>
            <w:bookmarkEnd w:id="15"/>
          </w:p>
        </w:tc>
      </w:tr>
      <w:tr w:rsidR="006C093B" w14:paraId="48386876" w14:textId="77777777" w:rsidTr="006F6E22">
        <w:trPr>
          <w:jc w:val="center"/>
        </w:trPr>
        <w:tc>
          <w:tcPr>
            <w:tcW w:w="9571" w:type="dxa"/>
            <w:gridSpan w:val="6"/>
            <w:vAlign w:val="center"/>
          </w:tcPr>
          <w:p w14:paraId="69D5C020"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Times New Roman" w:hint="eastAsia"/>
                <w:sz w:val="21"/>
                <w:szCs w:val="21"/>
              </w:rPr>
              <w:t>无</w:t>
            </w:r>
          </w:p>
        </w:tc>
      </w:tr>
      <w:tr w:rsidR="006C093B" w14:paraId="6ECE9DEE" w14:textId="77777777" w:rsidTr="006F6E22">
        <w:trPr>
          <w:jc w:val="center"/>
        </w:trPr>
        <w:tc>
          <w:tcPr>
            <w:tcW w:w="9571" w:type="dxa"/>
            <w:gridSpan w:val="6"/>
            <w:vAlign w:val="center"/>
          </w:tcPr>
          <w:p w14:paraId="370C52BB"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16" w:name="_Toc464902855"/>
            <w:bookmarkStart w:id="17" w:name="_Toc464905560"/>
            <w:bookmarkStart w:id="18" w:name="_Toc464905616"/>
            <w:bookmarkStart w:id="19" w:name="_Toc464905812"/>
            <w:bookmarkStart w:id="20" w:name="_Toc465074269"/>
            <w:r>
              <w:rPr>
                <w:rFonts w:ascii="宋体" w:eastAsia="宋体" w:hAnsi="宋体" w:cs="宋体"/>
                <w:sz w:val="21"/>
                <w:szCs w:val="21"/>
              </w:rPr>
              <w:t>8</w:t>
            </w:r>
            <w:r>
              <w:rPr>
                <w:rFonts w:ascii="宋体" w:eastAsia="宋体" w:hAnsi="宋体" w:cs="宋体" w:hint="eastAsia"/>
                <w:sz w:val="21"/>
                <w:szCs w:val="21"/>
              </w:rPr>
              <w:t>、贯彻标准的要求和措施建议（包括组织措施、技术措施、过渡办法、实施日期等）</w:t>
            </w:r>
            <w:bookmarkEnd w:id="16"/>
            <w:bookmarkEnd w:id="17"/>
            <w:bookmarkEnd w:id="18"/>
            <w:bookmarkEnd w:id="19"/>
            <w:bookmarkEnd w:id="20"/>
          </w:p>
        </w:tc>
      </w:tr>
      <w:tr w:rsidR="006C093B" w14:paraId="62B3AC9C" w14:textId="77777777" w:rsidTr="006F6E22">
        <w:trPr>
          <w:jc w:val="center"/>
        </w:trPr>
        <w:tc>
          <w:tcPr>
            <w:tcW w:w="9571" w:type="dxa"/>
            <w:gridSpan w:val="6"/>
            <w:vAlign w:val="center"/>
          </w:tcPr>
          <w:p w14:paraId="078DB70A" w14:textId="77777777" w:rsidR="006C093B" w:rsidRPr="00725320" w:rsidRDefault="006C093B" w:rsidP="006C093B">
            <w:pPr>
              <w:pStyle w:val="af"/>
              <w:wordWrap w:val="0"/>
              <w:autoSpaceDE/>
              <w:autoSpaceDN/>
              <w:jc w:val="both"/>
              <w:rPr>
                <w:rFonts w:hAnsi="宋体" w:hint="eastAsia"/>
                <w:szCs w:val="21"/>
              </w:rPr>
            </w:pPr>
            <w:r w:rsidRPr="00725320">
              <w:rPr>
                <w:rFonts w:hAnsi="宋体" w:hint="eastAsia"/>
                <w:szCs w:val="21"/>
              </w:rPr>
              <w:t>建议在</w:t>
            </w:r>
            <w:r w:rsidRPr="00725320">
              <w:rPr>
                <w:rFonts w:hAnsi="宋体" w:cs="宋体" w:hint="eastAsia"/>
                <w:szCs w:val="21"/>
              </w:rPr>
              <w:t>建设智慧养老系统的相关养老机构、政府部门中进行宣贯、培训和应用。</w:t>
            </w:r>
          </w:p>
        </w:tc>
      </w:tr>
      <w:tr w:rsidR="006C093B" w14:paraId="51D6A70B" w14:textId="77777777" w:rsidTr="006F6E22">
        <w:trPr>
          <w:jc w:val="center"/>
        </w:trPr>
        <w:tc>
          <w:tcPr>
            <w:tcW w:w="9571" w:type="dxa"/>
            <w:gridSpan w:val="6"/>
            <w:vAlign w:val="center"/>
          </w:tcPr>
          <w:p w14:paraId="21F1BC6F"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21" w:name="_Toc464902856"/>
            <w:bookmarkStart w:id="22" w:name="_Toc464905561"/>
            <w:bookmarkStart w:id="23" w:name="_Toc464905617"/>
            <w:bookmarkStart w:id="24" w:name="_Toc464905813"/>
            <w:bookmarkStart w:id="25" w:name="_Toc465074270"/>
            <w:r>
              <w:rPr>
                <w:rFonts w:ascii="宋体" w:eastAsia="宋体" w:hAnsi="宋体" w:cs="宋体"/>
                <w:sz w:val="21"/>
                <w:szCs w:val="21"/>
              </w:rPr>
              <w:t>9</w:t>
            </w:r>
            <w:r>
              <w:rPr>
                <w:rFonts w:ascii="宋体" w:eastAsia="宋体" w:hAnsi="宋体" w:cs="宋体" w:hint="eastAsia"/>
                <w:sz w:val="21"/>
                <w:szCs w:val="21"/>
              </w:rPr>
              <w:t>、废止现行相关标准的建议</w:t>
            </w:r>
            <w:bookmarkEnd w:id="21"/>
            <w:bookmarkEnd w:id="22"/>
            <w:bookmarkEnd w:id="23"/>
            <w:bookmarkEnd w:id="24"/>
            <w:bookmarkEnd w:id="25"/>
          </w:p>
        </w:tc>
      </w:tr>
      <w:tr w:rsidR="006C093B" w14:paraId="6D01E42D" w14:textId="77777777" w:rsidTr="006F6E22">
        <w:trPr>
          <w:jc w:val="center"/>
        </w:trPr>
        <w:tc>
          <w:tcPr>
            <w:tcW w:w="9571" w:type="dxa"/>
            <w:gridSpan w:val="6"/>
            <w:vAlign w:val="center"/>
          </w:tcPr>
          <w:p w14:paraId="32D33E18"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Times New Roman" w:hint="eastAsia"/>
                <w:sz w:val="21"/>
                <w:szCs w:val="21"/>
              </w:rPr>
              <w:t>无</w:t>
            </w:r>
          </w:p>
        </w:tc>
      </w:tr>
      <w:tr w:rsidR="006C093B" w14:paraId="73C2C60A" w14:textId="77777777" w:rsidTr="006F6E22">
        <w:trPr>
          <w:jc w:val="center"/>
        </w:trPr>
        <w:tc>
          <w:tcPr>
            <w:tcW w:w="9571" w:type="dxa"/>
            <w:gridSpan w:val="6"/>
            <w:vAlign w:val="center"/>
          </w:tcPr>
          <w:p w14:paraId="7C9B7ACB"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bookmarkStart w:id="26" w:name="_Toc464902857"/>
            <w:bookmarkStart w:id="27" w:name="_Toc464905562"/>
            <w:bookmarkStart w:id="28" w:name="_Toc464905618"/>
            <w:bookmarkStart w:id="29" w:name="_Toc464905814"/>
            <w:bookmarkStart w:id="30" w:name="_Toc465074271"/>
            <w:r>
              <w:rPr>
                <w:rFonts w:ascii="宋体" w:eastAsia="宋体" w:hAnsi="宋体" w:cs="宋体"/>
                <w:sz w:val="21"/>
                <w:szCs w:val="21"/>
              </w:rPr>
              <w:t>10</w:t>
            </w:r>
            <w:r>
              <w:rPr>
                <w:rFonts w:ascii="宋体" w:eastAsia="宋体" w:hAnsi="宋体" w:cs="宋体" w:hint="eastAsia"/>
                <w:sz w:val="21"/>
                <w:szCs w:val="21"/>
              </w:rPr>
              <w:t>、其它应予说明的事项</w:t>
            </w:r>
            <w:bookmarkEnd w:id="26"/>
            <w:bookmarkEnd w:id="27"/>
            <w:bookmarkEnd w:id="28"/>
            <w:bookmarkEnd w:id="29"/>
            <w:bookmarkEnd w:id="30"/>
          </w:p>
        </w:tc>
      </w:tr>
      <w:tr w:rsidR="006C093B" w14:paraId="7CFCA3CD" w14:textId="77777777" w:rsidTr="006F6E22">
        <w:trPr>
          <w:jc w:val="center"/>
        </w:trPr>
        <w:tc>
          <w:tcPr>
            <w:tcW w:w="9571" w:type="dxa"/>
            <w:gridSpan w:val="6"/>
            <w:vAlign w:val="center"/>
          </w:tcPr>
          <w:p w14:paraId="1234570F" w14:textId="77777777" w:rsidR="006C093B" w:rsidRDefault="006C093B" w:rsidP="006C093B">
            <w:pPr>
              <w:tabs>
                <w:tab w:val="center" w:pos="4201"/>
                <w:tab w:val="right" w:leader="dot" w:pos="9298"/>
              </w:tabs>
              <w:autoSpaceDE w:val="0"/>
              <w:autoSpaceDN w:val="0"/>
              <w:spacing w:after="0"/>
              <w:rPr>
                <w:rFonts w:ascii="宋体" w:eastAsia="宋体" w:hAnsi="宋体" w:cs="Times New Roman" w:hint="eastAsia"/>
                <w:sz w:val="21"/>
                <w:szCs w:val="21"/>
              </w:rPr>
            </w:pPr>
            <w:r>
              <w:rPr>
                <w:rFonts w:ascii="宋体" w:eastAsia="宋体" w:hAnsi="宋体" w:cs="Times New Roman" w:hint="eastAsia"/>
                <w:sz w:val="21"/>
                <w:szCs w:val="21"/>
              </w:rPr>
              <w:t>无</w:t>
            </w:r>
          </w:p>
        </w:tc>
      </w:tr>
    </w:tbl>
    <w:p w14:paraId="0324E903" w14:textId="77777777" w:rsidR="00FB205F" w:rsidRDefault="00FB205F" w:rsidP="00FB205F">
      <w:pPr>
        <w:autoSpaceDE w:val="0"/>
        <w:autoSpaceDN w:val="0"/>
        <w:spacing w:after="0"/>
        <w:ind w:leftChars="50" w:left="110" w:firstLineChars="100" w:firstLine="210"/>
        <w:rPr>
          <w:rFonts w:ascii="宋体" w:eastAsia="宋体" w:hAnsi="宋体" w:cs="宋体" w:hint="eastAsia"/>
          <w:sz w:val="21"/>
          <w:szCs w:val="21"/>
        </w:rPr>
      </w:pPr>
      <w:r>
        <w:rPr>
          <w:rFonts w:ascii="宋体" w:eastAsia="宋体" w:hAnsi="宋体" w:cs="宋体" w:hint="eastAsia"/>
          <w:sz w:val="21"/>
          <w:szCs w:val="21"/>
        </w:rPr>
        <w:t>没有的请填写</w:t>
      </w:r>
      <w:r>
        <w:rPr>
          <w:rFonts w:ascii="宋体" w:eastAsia="宋体" w:hAnsi="宋体" w:cs="宋体"/>
          <w:sz w:val="21"/>
          <w:szCs w:val="21"/>
        </w:rPr>
        <w:t xml:space="preserve"> </w:t>
      </w:r>
      <w:r>
        <w:rPr>
          <w:rFonts w:ascii="宋体" w:eastAsia="宋体" w:hAnsi="宋体" w:cs="宋体" w:hint="eastAsia"/>
          <w:sz w:val="21"/>
          <w:szCs w:val="21"/>
        </w:rPr>
        <w:t>“无</w:t>
      </w:r>
    </w:p>
    <w:sectPr w:rsidR="00FB205F">
      <w:footerReference w:type="default" r:id="rId8"/>
      <w:pgSz w:w="11906" w:h="16838"/>
      <w:pgMar w:top="1418" w:right="1418" w:bottom="1418" w:left="1418"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07A69" w14:textId="77777777" w:rsidR="00C8387E" w:rsidRDefault="00C8387E">
      <w:pPr>
        <w:spacing w:after="0"/>
      </w:pPr>
      <w:r>
        <w:separator/>
      </w:r>
    </w:p>
  </w:endnote>
  <w:endnote w:type="continuationSeparator" w:id="0">
    <w:p w14:paraId="2B1C482F" w14:textId="77777777" w:rsidR="00C8387E" w:rsidRDefault="00C83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3602A" w14:textId="77777777" w:rsidR="008C14CB" w:rsidRDefault="00C83EE3">
    <w:pPr>
      <w:pStyle w:val="a5"/>
      <w:ind w:right="357"/>
      <w:jc w:val="right"/>
      <w:rPr>
        <w:rStyle w:val="aa"/>
        <w:rFonts w:ascii="宋体" w:cs="Tahoma"/>
        <w:sz w:val="28"/>
        <w:szCs w:val="28"/>
      </w:rPr>
    </w:pPr>
    <w:r>
      <w:rPr>
        <w:rStyle w:val="aa"/>
        <w:rFonts w:ascii="宋体" w:hAnsi="宋体" w:cs="宋体"/>
        <w:sz w:val="28"/>
        <w:szCs w:val="28"/>
      </w:rPr>
      <w:fldChar w:fldCharType="begin"/>
    </w:r>
    <w:r>
      <w:rPr>
        <w:rStyle w:val="aa"/>
        <w:rFonts w:ascii="宋体" w:hAnsi="宋体" w:cs="宋体"/>
        <w:sz w:val="28"/>
        <w:szCs w:val="28"/>
      </w:rPr>
      <w:instrText xml:space="preserve">PAGE  </w:instrText>
    </w:r>
    <w:r>
      <w:rPr>
        <w:rStyle w:val="aa"/>
        <w:rFonts w:ascii="宋体" w:hAnsi="宋体" w:cs="宋体"/>
        <w:sz w:val="28"/>
        <w:szCs w:val="28"/>
      </w:rPr>
      <w:fldChar w:fldCharType="separate"/>
    </w:r>
    <w:r>
      <w:rPr>
        <w:rStyle w:val="aa"/>
        <w:rFonts w:ascii="宋体" w:hAnsi="宋体" w:cs="宋体"/>
        <w:sz w:val="28"/>
        <w:szCs w:val="28"/>
      </w:rPr>
      <w:t>- 23 -</w:t>
    </w:r>
    <w:r>
      <w:rPr>
        <w:rStyle w:val="aa"/>
        <w:rFonts w:ascii="宋体" w:hAnsi="宋体" w:cs="宋体"/>
        <w:sz w:val="28"/>
        <w:szCs w:val="28"/>
      </w:rPr>
      <w:fldChar w:fldCharType="end"/>
    </w:r>
  </w:p>
  <w:p w14:paraId="3DED1E33" w14:textId="77777777" w:rsidR="008C14CB" w:rsidRDefault="008C14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2353C" w14:textId="77777777" w:rsidR="00C8387E" w:rsidRDefault="00C8387E">
      <w:pPr>
        <w:spacing w:after="0"/>
      </w:pPr>
      <w:r>
        <w:separator/>
      </w:r>
    </w:p>
  </w:footnote>
  <w:footnote w:type="continuationSeparator" w:id="0">
    <w:p w14:paraId="113478A1" w14:textId="77777777" w:rsidR="00C8387E" w:rsidRDefault="00C838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07657"/>
    <w:multiLevelType w:val="hybridMultilevel"/>
    <w:tmpl w:val="65F6E690"/>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56E134D"/>
    <w:multiLevelType w:val="hybridMultilevel"/>
    <w:tmpl w:val="7884E5C4"/>
    <w:lvl w:ilvl="0" w:tplc="703AC6E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65E7159B"/>
    <w:multiLevelType w:val="hybridMultilevel"/>
    <w:tmpl w:val="08585966"/>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799808017">
    <w:abstractNumId w:val="0"/>
  </w:num>
  <w:num w:numId="2" w16cid:durableId="621838262">
    <w:abstractNumId w:val="1"/>
  </w:num>
  <w:num w:numId="3" w16cid:durableId="251355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0NmM2YzEyMjNkZGM0MWJjMGY0NWI1MmYxZGUyNTAifQ=="/>
  </w:docVars>
  <w:rsids>
    <w:rsidRoot w:val="00D31D50"/>
    <w:rsid w:val="BE9DBC6D"/>
    <w:rsid w:val="00002CB3"/>
    <w:rsid w:val="00005328"/>
    <w:rsid w:val="00015870"/>
    <w:rsid w:val="00020984"/>
    <w:rsid w:val="00021A51"/>
    <w:rsid w:val="00022E63"/>
    <w:rsid w:val="00024559"/>
    <w:rsid w:val="00031E8C"/>
    <w:rsid w:val="00033470"/>
    <w:rsid w:val="00052805"/>
    <w:rsid w:val="00067CDD"/>
    <w:rsid w:val="00087F9A"/>
    <w:rsid w:val="000921E6"/>
    <w:rsid w:val="000B702F"/>
    <w:rsid w:val="000D29EE"/>
    <w:rsid w:val="000D3DEA"/>
    <w:rsid w:val="000E4975"/>
    <w:rsid w:val="000F022A"/>
    <w:rsid w:val="00100921"/>
    <w:rsid w:val="00102A8F"/>
    <w:rsid w:val="00140453"/>
    <w:rsid w:val="00152149"/>
    <w:rsid w:val="00156C6B"/>
    <w:rsid w:val="001637FE"/>
    <w:rsid w:val="00185BC9"/>
    <w:rsid w:val="00186B24"/>
    <w:rsid w:val="00190F9E"/>
    <w:rsid w:val="001A3D8D"/>
    <w:rsid w:val="001B0937"/>
    <w:rsid w:val="001B7BC0"/>
    <w:rsid w:val="001C2293"/>
    <w:rsid w:val="001C63F7"/>
    <w:rsid w:val="001E404D"/>
    <w:rsid w:val="002136B0"/>
    <w:rsid w:val="002138C5"/>
    <w:rsid w:val="002225F9"/>
    <w:rsid w:val="00240422"/>
    <w:rsid w:val="00251BCF"/>
    <w:rsid w:val="002660E8"/>
    <w:rsid w:val="00272695"/>
    <w:rsid w:val="002977E7"/>
    <w:rsid w:val="002A3B5E"/>
    <w:rsid w:val="002B1ECC"/>
    <w:rsid w:val="002B51E0"/>
    <w:rsid w:val="002E338B"/>
    <w:rsid w:val="002E6FF0"/>
    <w:rsid w:val="00310154"/>
    <w:rsid w:val="00312665"/>
    <w:rsid w:val="00323B43"/>
    <w:rsid w:val="00330D74"/>
    <w:rsid w:val="0034253E"/>
    <w:rsid w:val="003456A4"/>
    <w:rsid w:val="003509D0"/>
    <w:rsid w:val="003514E6"/>
    <w:rsid w:val="00374336"/>
    <w:rsid w:val="00383455"/>
    <w:rsid w:val="003C04AD"/>
    <w:rsid w:val="003D37D8"/>
    <w:rsid w:val="003D5378"/>
    <w:rsid w:val="003D7322"/>
    <w:rsid w:val="003F1B1F"/>
    <w:rsid w:val="004012C3"/>
    <w:rsid w:val="00422563"/>
    <w:rsid w:val="00426133"/>
    <w:rsid w:val="0043143D"/>
    <w:rsid w:val="004358AB"/>
    <w:rsid w:val="004362B4"/>
    <w:rsid w:val="00441765"/>
    <w:rsid w:val="00454673"/>
    <w:rsid w:val="00456F23"/>
    <w:rsid w:val="00470873"/>
    <w:rsid w:val="00471797"/>
    <w:rsid w:val="004866C9"/>
    <w:rsid w:val="00487184"/>
    <w:rsid w:val="0048795E"/>
    <w:rsid w:val="0049067B"/>
    <w:rsid w:val="004A09D8"/>
    <w:rsid w:val="004A44DA"/>
    <w:rsid w:val="004A7F79"/>
    <w:rsid w:val="004C0008"/>
    <w:rsid w:val="004C2F5E"/>
    <w:rsid w:val="004D2DFF"/>
    <w:rsid w:val="004D7946"/>
    <w:rsid w:val="004E2C2E"/>
    <w:rsid w:val="005169C8"/>
    <w:rsid w:val="0052575A"/>
    <w:rsid w:val="00532B01"/>
    <w:rsid w:val="00533547"/>
    <w:rsid w:val="00542534"/>
    <w:rsid w:val="0055684F"/>
    <w:rsid w:val="00556C52"/>
    <w:rsid w:val="00563EF5"/>
    <w:rsid w:val="00576F31"/>
    <w:rsid w:val="0059352F"/>
    <w:rsid w:val="005A745C"/>
    <w:rsid w:val="005B0065"/>
    <w:rsid w:val="005B21E0"/>
    <w:rsid w:val="005B449E"/>
    <w:rsid w:val="005C7DF1"/>
    <w:rsid w:val="005D7FD3"/>
    <w:rsid w:val="005E72E5"/>
    <w:rsid w:val="005F264E"/>
    <w:rsid w:val="0061692D"/>
    <w:rsid w:val="0062522F"/>
    <w:rsid w:val="0066322B"/>
    <w:rsid w:val="00666697"/>
    <w:rsid w:val="00685F10"/>
    <w:rsid w:val="00690DA7"/>
    <w:rsid w:val="006A5D3E"/>
    <w:rsid w:val="006C093B"/>
    <w:rsid w:val="006E302A"/>
    <w:rsid w:val="006E4074"/>
    <w:rsid w:val="006F16C1"/>
    <w:rsid w:val="00706E6A"/>
    <w:rsid w:val="0071777F"/>
    <w:rsid w:val="00732060"/>
    <w:rsid w:val="00735BD0"/>
    <w:rsid w:val="0074218D"/>
    <w:rsid w:val="00744C2D"/>
    <w:rsid w:val="00752ACA"/>
    <w:rsid w:val="00755429"/>
    <w:rsid w:val="00767735"/>
    <w:rsid w:val="007803D0"/>
    <w:rsid w:val="0079095E"/>
    <w:rsid w:val="0079749A"/>
    <w:rsid w:val="007A5D4E"/>
    <w:rsid w:val="007B3FA6"/>
    <w:rsid w:val="007C2843"/>
    <w:rsid w:val="007C4422"/>
    <w:rsid w:val="007C74D2"/>
    <w:rsid w:val="007F39E9"/>
    <w:rsid w:val="007F3E1B"/>
    <w:rsid w:val="007F732C"/>
    <w:rsid w:val="00801B19"/>
    <w:rsid w:val="008351BB"/>
    <w:rsid w:val="00863F6F"/>
    <w:rsid w:val="0087031A"/>
    <w:rsid w:val="008741F6"/>
    <w:rsid w:val="00892919"/>
    <w:rsid w:val="00897D5F"/>
    <w:rsid w:val="008A01D9"/>
    <w:rsid w:val="008A4E90"/>
    <w:rsid w:val="008B7726"/>
    <w:rsid w:val="008C14CB"/>
    <w:rsid w:val="008D216D"/>
    <w:rsid w:val="008F17B1"/>
    <w:rsid w:val="008F3454"/>
    <w:rsid w:val="009106F8"/>
    <w:rsid w:val="0091270D"/>
    <w:rsid w:val="00916B8D"/>
    <w:rsid w:val="00920037"/>
    <w:rsid w:val="00922BD7"/>
    <w:rsid w:val="009501FA"/>
    <w:rsid w:val="0095333A"/>
    <w:rsid w:val="00960EF3"/>
    <w:rsid w:val="00974A1E"/>
    <w:rsid w:val="00976799"/>
    <w:rsid w:val="00987618"/>
    <w:rsid w:val="009943EA"/>
    <w:rsid w:val="009A4452"/>
    <w:rsid w:val="009B1D75"/>
    <w:rsid w:val="009B6C31"/>
    <w:rsid w:val="009C12A0"/>
    <w:rsid w:val="009D2794"/>
    <w:rsid w:val="009D7F28"/>
    <w:rsid w:val="009E2899"/>
    <w:rsid w:val="009E6FF4"/>
    <w:rsid w:val="009F422E"/>
    <w:rsid w:val="00A11671"/>
    <w:rsid w:val="00A174CD"/>
    <w:rsid w:val="00A431CA"/>
    <w:rsid w:val="00A4708E"/>
    <w:rsid w:val="00A54AE3"/>
    <w:rsid w:val="00A57BD3"/>
    <w:rsid w:val="00A83228"/>
    <w:rsid w:val="00A9393E"/>
    <w:rsid w:val="00A93C3B"/>
    <w:rsid w:val="00A9663C"/>
    <w:rsid w:val="00AC2D6F"/>
    <w:rsid w:val="00AD2EA2"/>
    <w:rsid w:val="00AD72F0"/>
    <w:rsid w:val="00AE6ADC"/>
    <w:rsid w:val="00B0146E"/>
    <w:rsid w:val="00B10BDA"/>
    <w:rsid w:val="00B11D4E"/>
    <w:rsid w:val="00B12817"/>
    <w:rsid w:val="00B15808"/>
    <w:rsid w:val="00B2407B"/>
    <w:rsid w:val="00B242DE"/>
    <w:rsid w:val="00B27ACB"/>
    <w:rsid w:val="00B362C5"/>
    <w:rsid w:val="00B37994"/>
    <w:rsid w:val="00B61690"/>
    <w:rsid w:val="00B620A3"/>
    <w:rsid w:val="00B6525C"/>
    <w:rsid w:val="00B666FB"/>
    <w:rsid w:val="00B86EA5"/>
    <w:rsid w:val="00BA220A"/>
    <w:rsid w:val="00BA2783"/>
    <w:rsid w:val="00BA7EE3"/>
    <w:rsid w:val="00BC0F0A"/>
    <w:rsid w:val="00BC1569"/>
    <w:rsid w:val="00BD33B2"/>
    <w:rsid w:val="00C20970"/>
    <w:rsid w:val="00C26181"/>
    <w:rsid w:val="00C275BD"/>
    <w:rsid w:val="00C351E8"/>
    <w:rsid w:val="00C40B44"/>
    <w:rsid w:val="00C44140"/>
    <w:rsid w:val="00C51816"/>
    <w:rsid w:val="00C53F86"/>
    <w:rsid w:val="00C55273"/>
    <w:rsid w:val="00C71C9A"/>
    <w:rsid w:val="00C8387E"/>
    <w:rsid w:val="00C83EE3"/>
    <w:rsid w:val="00CA21FE"/>
    <w:rsid w:val="00CA5065"/>
    <w:rsid w:val="00CA7106"/>
    <w:rsid w:val="00CA7A41"/>
    <w:rsid w:val="00CE62F3"/>
    <w:rsid w:val="00D205FE"/>
    <w:rsid w:val="00D26944"/>
    <w:rsid w:val="00D31D50"/>
    <w:rsid w:val="00D34B82"/>
    <w:rsid w:val="00D3678F"/>
    <w:rsid w:val="00D54AF9"/>
    <w:rsid w:val="00D70905"/>
    <w:rsid w:val="00D73638"/>
    <w:rsid w:val="00D87B7C"/>
    <w:rsid w:val="00D90458"/>
    <w:rsid w:val="00DA5697"/>
    <w:rsid w:val="00DA6316"/>
    <w:rsid w:val="00DB65EE"/>
    <w:rsid w:val="00DC5631"/>
    <w:rsid w:val="00DD0F4B"/>
    <w:rsid w:val="00DD3B71"/>
    <w:rsid w:val="00DE74BE"/>
    <w:rsid w:val="00DF3096"/>
    <w:rsid w:val="00E07EEA"/>
    <w:rsid w:val="00E3315D"/>
    <w:rsid w:val="00E3353B"/>
    <w:rsid w:val="00E34D43"/>
    <w:rsid w:val="00E34D78"/>
    <w:rsid w:val="00E41EBD"/>
    <w:rsid w:val="00E45C85"/>
    <w:rsid w:val="00E5290D"/>
    <w:rsid w:val="00E65E60"/>
    <w:rsid w:val="00E76171"/>
    <w:rsid w:val="00E8108F"/>
    <w:rsid w:val="00EA6A82"/>
    <w:rsid w:val="00EC1A44"/>
    <w:rsid w:val="00EC2615"/>
    <w:rsid w:val="00ED6828"/>
    <w:rsid w:val="00EE4F8F"/>
    <w:rsid w:val="00EF00DC"/>
    <w:rsid w:val="00EF62F0"/>
    <w:rsid w:val="00F011B5"/>
    <w:rsid w:val="00F0146B"/>
    <w:rsid w:val="00F20815"/>
    <w:rsid w:val="00F31020"/>
    <w:rsid w:val="00F34F06"/>
    <w:rsid w:val="00F425C0"/>
    <w:rsid w:val="00F71093"/>
    <w:rsid w:val="00F81306"/>
    <w:rsid w:val="00F86AA7"/>
    <w:rsid w:val="00FB205F"/>
    <w:rsid w:val="00FB279A"/>
    <w:rsid w:val="00FC18E9"/>
    <w:rsid w:val="00FC1AD9"/>
    <w:rsid w:val="00FC7C21"/>
    <w:rsid w:val="00FE01D3"/>
    <w:rsid w:val="00FE6426"/>
    <w:rsid w:val="00FF4A98"/>
    <w:rsid w:val="019A70E0"/>
    <w:rsid w:val="04AF7632"/>
    <w:rsid w:val="05373150"/>
    <w:rsid w:val="056E72C2"/>
    <w:rsid w:val="06440805"/>
    <w:rsid w:val="09A40D5A"/>
    <w:rsid w:val="0D4D5415"/>
    <w:rsid w:val="0E2A4EA3"/>
    <w:rsid w:val="0F224E4A"/>
    <w:rsid w:val="10B56841"/>
    <w:rsid w:val="131B2151"/>
    <w:rsid w:val="134F53B8"/>
    <w:rsid w:val="1B0E20E6"/>
    <w:rsid w:val="1C0D0EDA"/>
    <w:rsid w:val="1C7535BE"/>
    <w:rsid w:val="1C981B04"/>
    <w:rsid w:val="1DD04221"/>
    <w:rsid w:val="1EEB0EDF"/>
    <w:rsid w:val="216114C5"/>
    <w:rsid w:val="21E0088C"/>
    <w:rsid w:val="22345A14"/>
    <w:rsid w:val="238470A1"/>
    <w:rsid w:val="269D7D50"/>
    <w:rsid w:val="26B52D7F"/>
    <w:rsid w:val="26EE065D"/>
    <w:rsid w:val="27756C8A"/>
    <w:rsid w:val="277F57D2"/>
    <w:rsid w:val="299D3C74"/>
    <w:rsid w:val="2AB11566"/>
    <w:rsid w:val="30864DB3"/>
    <w:rsid w:val="320643C8"/>
    <w:rsid w:val="329D600D"/>
    <w:rsid w:val="32BC6390"/>
    <w:rsid w:val="335A4B85"/>
    <w:rsid w:val="355324A1"/>
    <w:rsid w:val="35B1311A"/>
    <w:rsid w:val="35FA0597"/>
    <w:rsid w:val="36835977"/>
    <w:rsid w:val="36B016D6"/>
    <w:rsid w:val="37AC264D"/>
    <w:rsid w:val="37F33770"/>
    <w:rsid w:val="37F52D63"/>
    <w:rsid w:val="38874E9A"/>
    <w:rsid w:val="39E62F5B"/>
    <w:rsid w:val="3CBA6D0B"/>
    <w:rsid w:val="3E205A8A"/>
    <w:rsid w:val="3ED85270"/>
    <w:rsid w:val="47C37700"/>
    <w:rsid w:val="489446FA"/>
    <w:rsid w:val="49840691"/>
    <w:rsid w:val="49AB377A"/>
    <w:rsid w:val="4B643898"/>
    <w:rsid w:val="4DD46945"/>
    <w:rsid w:val="4E6224E0"/>
    <w:rsid w:val="4F8A437E"/>
    <w:rsid w:val="50854882"/>
    <w:rsid w:val="53A85190"/>
    <w:rsid w:val="53AF1B91"/>
    <w:rsid w:val="573806E2"/>
    <w:rsid w:val="5960556D"/>
    <w:rsid w:val="5C776D0C"/>
    <w:rsid w:val="5D594196"/>
    <w:rsid w:val="5D6D36ED"/>
    <w:rsid w:val="5E2871E7"/>
    <w:rsid w:val="5EC1471C"/>
    <w:rsid w:val="5F0E5AFE"/>
    <w:rsid w:val="603D7B57"/>
    <w:rsid w:val="610176AB"/>
    <w:rsid w:val="61484DB9"/>
    <w:rsid w:val="61B257D4"/>
    <w:rsid w:val="61DF5DEE"/>
    <w:rsid w:val="643A7A3B"/>
    <w:rsid w:val="64E45E2A"/>
    <w:rsid w:val="655D37A0"/>
    <w:rsid w:val="65795874"/>
    <w:rsid w:val="66062D2B"/>
    <w:rsid w:val="66D0116D"/>
    <w:rsid w:val="671C2D5B"/>
    <w:rsid w:val="67DB0B23"/>
    <w:rsid w:val="69F161EF"/>
    <w:rsid w:val="6BF1536D"/>
    <w:rsid w:val="6CC34C5E"/>
    <w:rsid w:val="6E242DB0"/>
    <w:rsid w:val="6E7B20D0"/>
    <w:rsid w:val="6EE14461"/>
    <w:rsid w:val="6EFC335E"/>
    <w:rsid w:val="716B384E"/>
    <w:rsid w:val="71FA38D2"/>
    <w:rsid w:val="75231C9D"/>
    <w:rsid w:val="75684478"/>
    <w:rsid w:val="775052E8"/>
    <w:rsid w:val="7888728A"/>
    <w:rsid w:val="7A526A90"/>
    <w:rsid w:val="7B1C0846"/>
    <w:rsid w:val="7C0A6379"/>
    <w:rsid w:val="7D3D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C5BB9"/>
  <w15:docId w15:val="{366FF33E-BB93-4779-885F-7A3934D9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qFormat/>
    <w:pPr>
      <w:widowControl w:val="0"/>
      <w:tabs>
        <w:tab w:val="center" w:pos="4153"/>
        <w:tab w:val="right" w:pos="8306"/>
      </w:tabs>
      <w:adjustRightInd/>
      <w:spacing w:after="0"/>
      <w:ind w:right="360"/>
    </w:pPr>
    <w:rPr>
      <w:rFonts w:ascii="Times New Roman" w:eastAsia="宋体" w:hAnsi="Times New Roman" w:cs="Times New Roman"/>
      <w:kern w:val="2"/>
      <w:sz w:val="18"/>
      <w:szCs w:val="18"/>
    </w:rPr>
  </w:style>
  <w:style w:type="paragraph" w:styleId="a7">
    <w:name w:val="header"/>
    <w:basedOn w:val="a"/>
    <w:link w:val="a8"/>
    <w:uiPriority w:val="99"/>
    <w:semiHidden/>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qFormat/>
    <w:pPr>
      <w:spacing w:before="100" w:beforeAutospacing="1" w:after="100" w:afterAutospacing="1"/>
    </w:pPr>
    <w:rPr>
      <w:rFonts w:ascii="宋体" w:eastAsia="宋体" w:hAnsi="宋体" w:cs="宋体"/>
      <w:sz w:val="24"/>
      <w:szCs w:val="24"/>
    </w:rPr>
  </w:style>
  <w:style w:type="character" w:styleId="aa">
    <w:name w:val="page number"/>
    <w:basedOn w:val="a0"/>
    <w:uiPriority w:val="99"/>
    <w:qFormat/>
  </w:style>
  <w:style w:type="character" w:styleId="ab">
    <w:name w:val="Hyperlink"/>
    <w:basedOn w:val="a0"/>
    <w:uiPriority w:val="99"/>
    <w:qFormat/>
    <w:rPr>
      <w:color w:val="0000FF"/>
      <w:u w:val="single"/>
    </w:rPr>
  </w:style>
  <w:style w:type="character" w:customStyle="1" w:styleId="a6">
    <w:name w:val="页脚 字符"/>
    <w:basedOn w:val="a0"/>
    <w:link w:val="a5"/>
    <w:uiPriority w:val="99"/>
    <w:qFormat/>
    <w:locked/>
    <w:rPr>
      <w:rFonts w:ascii="Times New Roman" w:hAnsi="Times New Roman"/>
      <w:sz w:val="18"/>
      <w:szCs w:val="18"/>
    </w:rPr>
  </w:style>
  <w:style w:type="character" w:customStyle="1" w:styleId="Char">
    <w:name w:val="段 Char"/>
    <w:basedOn w:val="a0"/>
    <w:link w:val="ac"/>
    <w:qFormat/>
    <w:locked/>
    <w:rPr>
      <w:rFonts w:ascii="宋体" w:eastAsia="宋体" w:cs="宋体"/>
      <w:sz w:val="22"/>
      <w:szCs w:val="22"/>
      <w:lang w:val="en-US" w:eastAsia="zh-CN"/>
    </w:rPr>
  </w:style>
  <w:style w:type="paragraph" w:customStyle="1" w:styleId="ac">
    <w:name w:val="段"/>
    <w:link w:val="Char"/>
    <w:qFormat/>
    <w:pPr>
      <w:autoSpaceDE w:val="0"/>
      <w:autoSpaceDN w:val="0"/>
      <w:ind w:firstLineChars="200" w:firstLine="200"/>
      <w:jc w:val="both"/>
    </w:pPr>
    <w:rPr>
      <w:rFonts w:ascii="宋体" w:hAnsi="宋体" w:cs="宋体"/>
      <w:sz w:val="22"/>
      <w:szCs w:val="22"/>
    </w:rPr>
  </w:style>
  <w:style w:type="paragraph" w:customStyle="1" w:styleId="ad">
    <w:name w:val="一级条标题"/>
    <w:next w:val="ac"/>
    <w:uiPriority w:val="99"/>
    <w:qFormat/>
    <w:pPr>
      <w:tabs>
        <w:tab w:val="left" w:pos="360"/>
      </w:tabs>
      <w:outlineLvl w:val="2"/>
    </w:pPr>
    <w:rPr>
      <w:rFonts w:ascii="Times New Roman" w:eastAsia="黑体" w:hAnsi="Times New Roman"/>
      <w:sz w:val="21"/>
      <w:szCs w:val="21"/>
    </w:rPr>
  </w:style>
  <w:style w:type="paragraph" w:customStyle="1" w:styleId="ae">
    <w:name w:val="正文表标题"/>
    <w:next w:val="ac"/>
    <w:uiPriority w:val="99"/>
    <w:qFormat/>
    <w:pPr>
      <w:jc w:val="center"/>
    </w:pPr>
    <w:rPr>
      <w:rFonts w:ascii="黑体" w:eastAsia="黑体" w:hAnsi="Times New Roman" w:cs="黑体"/>
      <w:sz w:val="21"/>
      <w:szCs w:val="21"/>
    </w:rPr>
  </w:style>
  <w:style w:type="character" w:customStyle="1" w:styleId="a8">
    <w:name w:val="页眉 字符"/>
    <w:basedOn w:val="a0"/>
    <w:link w:val="a7"/>
    <w:uiPriority w:val="99"/>
    <w:semiHidden/>
    <w:qFormat/>
    <w:locked/>
    <w:rPr>
      <w:rFonts w:ascii="Tahoma" w:eastAsia="微软雅黑" w:hAnsi="Tahoma" w:cs="Tahoma"/>
      <w:sz w:val="18"/>
      <w:szCs w:val="18"/>
    </w:rPr>
  </w:style>
  <w:style w:type="character" w:customStyle="1" w:styleId="a4">
    <w:name w:val="批注框文本 字符"/>
    <w:basedOn w:val="a0"/>
    <w:link w:val="a3"/>
    <w:uiPriority w:val="99"/>
    <w:semiHidden/>
    <w:qFormat/>
    <w:rPr>
      <w:rFonts w:ascii="Tahoma" w:eastAsia="微软雅黑" w:hAnsi="Tahoma" w:cs="Tahoma"/>
      <w:kern w:val="0"/>
      <w:sz w:val="18"/>
      <w:szCs w:val="18"/>
    </w:rPr>
  </w:style>
  <w:style w:type="paragraph" w:customStyle="1" w:styleId="af">
    <w:name w:val="段落"/>
    <w:qFormat/>
    <w:pPr>
      <w:autoSpaceDE w:val="0"/>
      <w:autoSpaceDN w:val="0"/>
      <w:ind w:firstLineChars="200" w:firstLine="420"/>
    </w:pPr>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442</Words>
  <Characters>2521</Characters>
  <Application>Microsoft Office Word</Application>
  <DocSecurity>0</DocSecurity>
  <Lines>21</Lines>
  <Paragraphs>5</Paragraphs>
  <ScaleCrop>false</ScaleCrop>
  <Company>MC SYSTEM</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刘浪地球 l</cp:lastModifiedBy>
  <cp:revision>6</cp:revision>
  <cp:lastPrinted>2020-09-09T17:30:00Z</cp:lastPrinted>
  <dcterms:created xsi:type="dcterms:W3CDTF">2024-08-20T08:50:00Z</dcterms:created>
  <dcterms:modified xsi:type="dcterms:W3CDTF">2024-08-21T01:24:00Z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A80A9BB4D4DE44DD92B24A3807637475_12</vt:lpwstr>
  </property>
</Properties>
</file>